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6A" w:rsidRDefault="00BB0211" w:rsidP="00570162">
      <w:pPr>
        <w:jc w:val="center"/>
        <w:rPr>
          <w:b/>
          <w:u w:val="single"/>
        </w:rPr>
      </w:pPr>
      <w:r w:rsidRPr="00BB0211">
        <w:rPr>
          <w:b/>
          <w:noProof/>
          <w:u w:val="single"/>
          <w:lang w:eastAsia="en-GB"/>
        </w:rPr>
        <w:drawing>
          <wp:anchor distT="0" distB="0" distL="114300" distR="114300" simplePos="0" relativeHeight="251674624" behindDoc="0" locked="0" layoutInCell="1" allowOverlap="1">
            <wp:simplePos x="0" y="0"/>
            <wp:positionH relativeFrom="column">
              <wp:posOffset>5181600</wp:posOffset>
            </wp:positionH>
            <wp:positionV relativeFrom="paragraph">
              <wp:posOffset>-171450</wp:posOffset>
            </wp:positionV>
            <wp:extent cx="590550" cy="628650"/>
            <wp:effectExtent l="19050" t="0" r="0" b="0"/>
            <wp:wrapNone/>
            <wp:docPr id="3" name="Picture 1" descr="Full School Badge 201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School Badge 2010-small.jpg"/>
                    <pic:cNvPicPr/>
                  </pic:nvPicPr>
                  <pic:blipFill>
                    <a:blip r:embed="rId6" cstate="print"/>
                    <a:stretch>
                      <a:fillRect/>
                    </a:stretch>
                  </pic:blipFill>
                  <pic:spPr>
                    <a:xfrm>
                      <a:off x="0" y="0"/>
                      <a:ext cx="590550" cy="628650"/>
                    </a:xfrm>
                    <a:prstGeom prst="rect">
                      <a:avLst/>
                    </a:prstGeom>
                  </pic:spPr>
                </pic:pic>
              </a:graphicData>
            </a:graphic>
          </wp:anchor>
        </w:drawing>
      </w:r>
      <w:r>
        <w:rPr>
          <w:b/>
          <w:noProof/>
          <w:u w:val="single"/>
          <w:lang w:eastAsia="en-GB"/>
        </w:rPr>
        <w:drawing>
          <wp:anchor distT="0" distB="0" distL="114300" distR="114300" simplePos="0" relativeHeight="251672576" behindDoc="0" locked="0" layoutInCell="1" allowOverlap="1">
            <wp:simplePos x="0" y="0"/>
            <wp:positionH relativeFrom="column">
              <wp:posOffset>-47625</wp:posOffset>
            </wp:positionH>
            <wp:positionV relativeFrom="paragraph">
              <wp:posOffset>-171450</wp:posOffset>
            </wp:positionV>
            <wp:extent cx="590550" cy="628650"/>
            <wp:effectExtent l="19050" t="0" r="0" b="0"/>
            <wp:wrapNone/>
            <wp:docPr id="2" name="Picture 1" descr="Full School Badge 201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School Badge 2010-small.jpg"/>
                    <pic:cNvPicPr/>
                  </pic:nvPicPr>
                  <pic:blipFill>
                    <a:blip r:embed="rId6" cstate="print"/>
                    <a:stretch>
                      <a:fillRect/>
                    </a:stretch>
                  </pic:blipFill>
                  <pic:spPr>
                    <a:xfrm>
                      <a:off x="0" y="0"/>
                      <a:ext cx="590550" cy="628650"/>
                    </a:xfrm>
                    <a:prstGeom prst="rect">
                      <a:avLst/>
                    </a:prstGeom>
                  </pic:spPr>
                </pic:pic>
              </a:graphicData>
            </a:graphic>
          </wp:anchor>
        </w:drawing>
      </w:r>
      <w:r w:rsidR="00C70B6A">
        <w:rPr>
          <w:b/>
          <w:u w:val="single"/>
        </w:rPr>
        <w:t>ST. WILFRID’S RC COLLEGE</w:t>
      </w:r>
    </w:p>
    <w:p w:rsidR="00570162" w:rsidRDefault="00570162" w:rsidP="00570162">
      <w:pPr>
        <w:jc w:val="center"/>
        <w:rPr>
          <w:b/>
          <w:u w:val="single"/>
        </w:rPr>
      </w:pPr>
      <w:r>
        <w:rPr>
          <w:b/>
          <w:u w:val="single"/>
        </w:rPr>
        <w:t>PUPIL PREMIUM</w:t>
      </w:r>
      <w:r w:rsidR="00C70B6A">
        <w:rPr>
          <w:b/>
          <w:u w:val="single"/>
        </w:rPr>
        <w:t xml:space="preserve"> </w:t>
      </w:r>
    </w:p>
    <w:p w:rsidR="00C70B6A" w:rsidRDefault="00C70B6A" w:rsidP="00DA3CE9">
      <w:pPr>
        <w:rPr>
          <w:b/>
          <w:u w:val="single"/>
        </w:rPr>
      </w:pPr>
    </w:p>
    <w:p w:rsidR="002C6279" w:rsidRPr="003424E0" w:rsidRDefault="002C6279" w:rsidP="00DA3CE9">
      <w:pPr>
        <w:rPr>
          <w:b/>
          <w:u w:val="single"/>
        </w:rPr>
      </w:pPr>
      <w:r w:rsidRPr="003424E0">
        <w:rPr>
          <w:b/>
          <w:u w:val="single"/>
        </w:rPr>
        <w:t>Background</w:t>
      </w:r>
    </w:p>
    <w:p w:rsidR="009C5419" w:rsidRDefault="00162217" w:rsidP="00420476">
      <w:r>
        <w:t xml:space="preserve">The pupil premium </w:t>
      </w:r>
      <w:r w:rsidR="009C5419">
        <w:t xml:space="preserve">was introduced in April 2011 and </w:t>
      </w:r>
      <w:r>
        <w:t>is additional funding</w:t>
      </w:r>
      <w:r w:rsidR="002C6279">
        <w:t xml:space="preserve"> to main school funding</w:t>
      </w:r>
      <w:r>
        <w:t xml:space="preserve"> given to schools</w:t>
      </w:r>
      <w:r w:rsidR="002C6279">
        <w:t xml:space="preserve"> </w:t>
      </w:r>
      <w:r>
        <w:t>to raise the attainment of disadvantaged pupils and close the gap between them and their peers.</w:t>
      </w:r>
      <w:r w:rsidR="002C6279">
        <w:t xml:space="preserve">  The Government has used pupils entitled to Free School Meals as an indicator for deprivation</w:t>
      </w:r>
      <w:r w:rsidR="009C5419">
        <w:t xml:space="preserve"> and the funding helps to tackle those inequalities of the pupils who need it most.</w:t>
      </w:r>
    </w:p>
    <w:p w:rsidR="00F63331" w:rsidRDefault="009C5419" w:rsidP="00420476">
      <w:r>
        <w:t xml:space="preserve">The pupil premium was allocated to St. Wilfrid’s RC College </w:t>
      </w:r>
      <w:r w:rsidR="00F608DD">
        <w:t xml:space="preserve">for </w:t>
      </w:r>
      <w:r>
        <w:t xml:space="preserve">pupils who have either registered for free schools meals at any point with the last six years, children who have been on the Local Authority’s looked after children register, and children of service personnel.  </w:t>
      </w:r>
      <w:r w:rsidR="00F63331">
        <w:t>As an example, St. Wilfrid’s College has 28.9% (source: Raiseonline 2013) pupils eligible for Free School Meals.</w:t>
      </w:r>
    </w:p>
    <w:p w:rsidR="00162217" w:rsidRPr="002C6279" w:rsidRDefault="00162217" w:rsidP="00420476">
      <w:r>
        <w:t>The pupil premium is paid to schools as</w:t>
      </w:r>
      <w:r w:rsidR="0056619E">
        <w:t xml:space="preserve"> the Government believes</w:t>
      </w:r>
      <w:r>
        <w:t xml:space="preserve"> they are best placed to assess what additional provision their pupils need.</w:t>
      </w:r>
    </w:p>
    <w:p w:rsidR="00162217" w:rsidRPr="003424E0" w:rsidRDefault="00260F6E" w:rsidP="00420476">
      <w:pPr>
        <w:rPr>
          <w:rFonts w:cs="Arial"/>
          <w:b/>
          <w:u w:val="single"/>
        </w:rPr>
      </w:pPr>
      <w:r w:rsidRPr="003424E0">
        <w:rPr>
          <w:rFonts w:cs="Arial"/>
          <w:b/>
          <w:u w:val="single"/>
        </w:rPr>
        <w:t>Use of Pupil Premium in 2013-14</w:t>
      </w:r>
    </w:p>
    <w:p w:rsidR="00FD6233" w:rsidRPr="00E379C9" w:rsidRDefault="00260F6E" w:rsidP="00420476">
      <w:pPr>
        <w:rPr>
          <w:rFonts w:cs="Arial"/>
        </w:rPr>
      </w:pPr>
      <w:r w:rsidRPr="00E379C9">
        <w:rPr>
          <w:rFonts w:cs="Arial"/>
        </w:rPr>
        <w:t xml:space="preserve">In 2013-14 St. Wilfrid’s received £206,100, with an additional £11,700, part through the year (£217,800).  </w:t>
      </w:r>
      <w:r w:rsidR="0069721E" w:rsidRPr="00E379C9">
        <w:rPr>
          <w:rFonts w:cs="Arial"/>
        </w:rPr>
        <w:t>The intervention strategies of the school supported the use of Pupil Premium funding, which allowed our students to benefit from the following:</w:t>
      </w:r>
    </w:p>
    <w:tbl>
      <w:tblPr>
        <w:tblStyle w:val="TableGrid"/>
        <w:tblW w:w="0" w:type="auto"/>
        <w:tblLook w:val="04A0"/>
      </w:tblPr>
      <w:tblGrid>
        <w:gridCol w:w="9242"/>
      </w:tblGrid>
      <w:tr w:rsidR="00A340F0" w:rsidTr="00A340F0">
        <w:tc>
          <w:tcPr>
            <w:tcW w:w="9242" w:type="dxa"/>
          </w:tcPr>
          <w:p w:rsidR="00C70B6A" w:rsidRDefault="00C70B6A" w:rsidP="00C70B6A">
            <w:pPr>
              <w:pStyle w:val="ListParagraph"/>
              <w:rPr>
                <w:rFonts w:cs="Arial"/>
              </w:rPr>
            </w:pPr>
          </w:p>
          <w:p w:rsidR="00A340F0" w:rsidRPr="00F63331" w:rsidRDefault="00A340F0" w:rsidP="00A340F0">
            <w:pPr>
              <w:pStyle w:val="ListParagraph"/>
              <w:numPr>
                <w:ilvl w:val="0"/>
                <w:numId w:val="2"/>
              </w:numPr>
              <w:rPr>
                <w:rFonts w:cs="Arial"/>
              </w:rPr>
            </w:pPr>
            <w:r w:rsidRPr="00F63331">
              <w:rPr>
                <w:rFonts w:cs="Arial"/>
              </w:rPr>
              <w:t>Homework club after school everyday</w:t>
            </w:r>
          </w:p>
          <w:p w:rsidR="00A340F0" w:rsidRPr="00F63331" w:rsidRDefault="00A340F0" w:rsidP="00A340F0">
            <w:pPr>
              <w:pStyle w:val="ListParagraph"/>
              <w:numPr>
                <w:ilvl w:val="0"/>
                <w:numId w:val="2"/>
              </w:numPr>
              <w:rPr>
                <w:rFonts w:cs="Arial"/>
              </w:rPr>
            </w:pPr>
            <w:r w:rsidRPr="00F63331">
              <w:rPr>
                <w:rFonts w:cs="Arial"/>
              </w:rPr>
              <w:t>One to one reading sessions</w:t>
            </w:r>
          </w:p>
          <w:p w:rsidR="00A340F0" w:rsidRPr="00F63331" w:rsidRDefault="00A340F0" w:rsidP="00A340F0">
            <w:pPr>
              <w:pStyle w:val="ListParagraph"/>
              <w:numPr>
                <w:ilvl w:val="0"/>
                <w:numId w:val="2"/>
              </w:numPr>
              <w:rPr>
                <w:rFonts w:cs="Arial"/>
              </w:rPr>
            </w:pPr>
            <w:r w:rsidRPr="00F63331">
              <w:rPr>
                <w:rFonts w:cs="Arial"/>
              </w:rPr>
              <w:t>Support</w:t>
            </w:r>
            <w:r w:rsidR="00303E31" w:rsidRPr="00F63331">
              <w:rPr>
                <w:rFonts w:cs="Arial"/>
              </w:rPr>
              <w:t xml:space="preserve"> to pupils and their families</w:t>
            </w:r>
            <w:r w:rsidRPr="00F63331">
              <w:rPr>
                <w:rFonts w:cs="Arial"/>
              </w:rPr>
              <w:t xml:space="preserve"> from SEN co-ordinator</w:t>
            </w:r>
          </w:p>
          <w:p w:rsidR="00A340F0" w:rsidRPr="00F63331" w:rsidRDefault="00A340F0" w:rsidP="00A340F0">
            <w:pPr>
              <w:pStyle w:val="ListParagraph"/>
              <w:numPr>
                <w:ilvl w:val="0"/>
                <w:numId w:val="2"/>
              </w:numPr>
              <w:rPr>
                <w:rFonts w:cs="Arial"/>
              </w:rPr>
            </w:pPr>
            <w:r w:rsidRPr="00F63331">
              <w:rPr>
                <w:rFonts w:cs="Arial"/>
              </w:rPr>
              <w:t>Pastoral liaison</w:t>
            </w:r>
            <w:r w:rsidR="00AD1AD7" w:rsidRPr="00F63331">
              <w:rPr>
                <w:rFonts w:cs="Arial"/>
              </w:rPr>
              <w:t xml:space="preserve"> Officer</w:t>
            </w:r>
          </w:p>
          <w:p w:rsidR="00A340F0" w:rsidRPr="00F63331" w:rsidRDefault="00BA2A15" w:rsidP="00A340F0">
            <w:pPr>
              <w:pStyle w:val="ListParagraph"/>
              <w:numPr>
                <w:ilvl w:val="0"/>
                <w:numId w:val="2"/>
              </w:numPr>
              <w:rPr>
                <w:rFonts w:cs="Arial"/>
              </w:rPr>
            </w:pPr>
            <w:r w:rsidRPr="00F63331">
              <w:rPr>
                <w:rFonts w:cs="Arial"/>
              </w:rPr>
              <w:t>Support from the d</w:t>
            </w:r>
            <w:r w:rsidR="00A340F0" w:rsidRPr="00F63331">
              <w:rPr>
                <w:rFonts w:cs="Arial"/>
              </w:rPr>
              <w:t>eployment and integration of teaching assistants</w:t>
            </w:r>
          </w:p>
          <w:p w:rsidR="00A340F0" w:rsidRPr="00F63331" w:rsidRDefault="00A340F0" w:rsidP="00A340F0">
            <w:pPr>
              <w:pStyle w:val="ListParagraph"/>
              <w:numPr>
                <w:ilvl w:val="0"/>
                <w:numId w:val="2"/>
              </w:numPr>
              <w:rPr>
                <w:rFonts w:cs="Arial"/>
              </w:rPr>
            </w:pPr>
            <w:r w:rsidRPr="00F63331">
              <w:rPr>
                <w:rFonts w:cs="Arial"/>
              </w:rPr>
              <w:t xml:space="preserve">Learning mentor </w:t>
            </w:r>
            <w:r w:rsidR="00BA2A15" w:rsidRPr="00F63331">
              <w:rPr>
                <w:rFonts w:cs="Arial"/>
              </w:rPr>
              <w:t>to support</w:t>
            </w:r>
            <w:r w:rsidRPr="00F63331">
              <w:rPr>
                <w:rFonts w:cs="Arial"/>
              </w:rPr>
              <w:t xml:space="preserve"> academic strategies</w:t>
            </w:r>
          </w:p>
          <w:p w:rsidR="00A340F0" w:rsidRPr="00F63331" w:rsidRDefault="00A340F0" w:rsidP="00A340F0">
            <w:pPr>
              <w:pStyle w:val="ListParagraph"/>
              <w:numPr>
                <w:ilvl w:val="0"/>
                <w:numId w:val="2"/>
              </w:numPr>
              <w:rPr>
                <w:rFonts w:cs="Arial"/>
              </w:rPr>
            </w:pPr>
            <w:r w:rsidRPr="00F63331">
              <w:rPr>
                <w:rFonts w:cs="Arial"/>
              </w:rPr>
              <w:t>Chaplaincy services including support groups</w:t>
            </w:r>
          </w:p>
          <w:p w:rsidR="00A340F0" w:rsidRPr="00F63331" w:rsidRDefault="00A340F0" w:rsidP="00A340F0">
            <w:pPr>
              <w:pStyle w:val="ListParagraph"/>
              <w:numPr>
                <w:ilvl w:val="0"/>
                <w:numId w:val="2"/>
              </w:numPr>
              <w:rPr>
                <w:rFonts w:cs="Arial"/>
              </w:rPr>
            </w:pPr>
            <w:r w:rsidRPr="00F63331">
              <w:rPr>
                <w:rFonts w:cs="Arial"/>
              </w:rPr>
              <w:t>Study support</w:t>
            </w:r>
          </w:p>
          <w:p w:rsidR="00A340F0" w:rsidRPr="00F63331" w:rsidRDefault="00A340F0" w:rsidP="00A340F0">
            <w:pPr>
              <w:pStyle w:val="ListParagraph"/>
              <w:numPr>
                <w:ilvl w:val="0"/>
                <w:numId w:val="2"/>
              </w:numPr>
              <w:rPr>
                <w:rFonts w:cs="Arial"/>
              </w:rPr>
            </w:pPr>
            <w:r w:rsidRPr="00F63331">
              <w:rPr>
                <w:rFonts w:cs="Arial"/>
              </w:rPr>
              <w:t>Support to Enhance Progress (STEP) small group sessions after school by subject specialists</w:t>
            </w:r>
          </w:p>
          <w:p w:rsidR="00A340F0" w:rsidRPr="00F63331" w:rsidRDefault="00A340F0" w:rsidP="00A340F0">
            <w:pPr>
              <w:pStyle w:val="ListParagraph"/>
              <w:numPr>
                <w:ilvl w:val="0"/>
                <w:numId w:val="2"/>
              </w:numPr>
              <w:rPr>
                <w:rFonts w:cs="Arial"/>
              </w:rPr>
            </w:pPr>
            <w:r w:rsidRPr="00F63331">
              <w:rPr>
                <w:rFonts w:cs="Arial"/>
              </w:rPr>
              <w:t>Reading club</w:t>
            </w:r>
          </w:p>
          <w:p w:rsidR="00A340F0" w:rsidRPr="00F63331" w:rsidRDefault="00A340F0" w:rsidP="00A340F0">
            <w:pPr>
              <w:pStyle w:val="ListParagraph"/>
              <w:numPr>
                <w:ilvl w:val="0"/>
                <w:numId w:val="2"/>
              </w:numPr>
              <w:rPr>
                <w:rFonts w:cs="Arial"/>
              </w:rPr>
            </w:pPr>
            <w:r w:rsidRPr="00F63331">
              <w:rPr>
                <w:rFonts w:cs="Arial"/>
              </w:rPr>
              <w:t>Planning for pupil progress and stretch and challenge</w:t>
            </w:r>
          </w:p>
          <w:p w:rsidR="00A742AE" w:rsidRPr="00F63331" w:rsidRDefault="00A742AE" w:rsidP="00A340F0">
            <w:pPr>
              <w:pStyle w:val="ListParagraph"/>
              <w:numPr>
                <w:ilvl w:val="0"/>
                <w:numId w:val="2"/>
              </w:numPr>
              <w:rPr>
                <w:rFonts w:cs="Arial"/>
              </w:rPr>
            </w:pPr>
            <w:r w:rsidRPr="00F63331">
              <w:rPr>
                <w:rFonts w:cs="Arial"/>
              </w:rPr>
              <w:t>Breakfast club</w:t>
            </w:r>
          </w:p>
          <w:p w:rsidR="00A742AE" w:rsidRPr="00F63331" w:rsidRDefault="00A340F0" w:rsidP="00A742AE">
            <w:pPr>
              <w:pStyle w:val="ListParagraph"/>
              <w:numPr>
                <w:ilvl w:val="0"/>
                <w:numId w:val="2"/>
              </w:numPr>
              <w:rPr>
                <w:rFonts w:cs="Arial"/>
              </w:rPr>
            </w:pPr>
            <w:r w:rsidRPr="00F63331">
              <w:rPr>
                <w:rFonts w:cs="Arial"/>
              </w:rPr>
              <w:t xml:space="preserve">Breakfast before exams </w:t>
            </w:r>
            <w:r w:rsidR="00A742AE" w:rsidRPr="00F63331">
              <w:rPr>
                <w:rFonts w:cs="Arial"/>
              </w:rPr>
              <w:t>and water during exams</w:t>
            </w:r>
          </w:p>
          <w:p w:rsidR="00303E31" w:rsidRPr="00F63331" w:rsidRDefault="00303E31" w:rsidP="00A340F0">
            <w:pPr>
              <w:pStyle w:val="ListParagraph"/>
              <w:numPr>
                <w:ilvl w:val="0"/>
                <w:numId w:val="2"/>
              </w:numPr>
              <w:rPr>
                <w:rFonts w:cs="Arial"/>
              </w:rPr>
            </w:pPr>
            <w:r w:rsidRPr="00F63331">
              <w:rPr>
                <w:rFonts w:cs="Arial"/>
              </w:rPr>
              <w:t>Family learning opportunities</w:t>
            </w:r>
          </w:p>
          <w:p w:rsidR="00303E31" w:rsidRPr="00F63331" w:rsidRDefault="00303E31" w:rsidP="00A340F0">
            <w:pPr>
              <w:pStyle w:val="ListParagraph"/>
              <w:numPr>
                <w:ilvl w:val="0"/>
                <w:numId w:val="2"/>
              </w:numPr>
              <w:rPr>
                <w:rFonts w:cs="Arial"/>
              </w:rPr>
            </w:pPr>
            <w:r w:rsidRPr="00F63331">
              <w:rPr>
                <w:rFonts w:cs="Arial"/>
              </w:rPr>
              <w:t>Subsidised music tuition</w:t>
            </w:r>
          </w:p>
          <w:p w:rsidR="00A742AE" w:rsidRPr="00C70B6A" w:rsidRDefault="00A742AE" w:rsidP="00A340F0">
            <w:pPr>
              <w:pStyle w:val="ListParagraph"/>
              <w:numPr>
                <w:ilvl w:val="0"/>
                <w:numId w:val="2"/>
              </w:numPr>
              <w:rPr>
                <w:rFonts w:cs="Arial"/>
              </w:rPr>
            </w:pPr>
            <w:r w:rsidRPr="00C70B6A">
              <w:rPr>
                <w:rFonts w:cs="Arial"/>
              </w:rPr>
              <w:lastRenderedPageBreak/>
              <w:t>Subsidised extra-curricular activities</w:t>
            </w:r>
          </w:p>
          <w:p w:rsidR="00C70B6A" w:rsidRPr="00A340F0" w:rsidRDefault="00C70B6A" w:rsidP="00C70B6A">
            <w:pPr>
              <w:pStyle w:val="ListParagraph"/>
              <w:rPr>
                <w:rFonts w:cs="Arial"/>
                <w:color w:val="FF0000"/>
              </w:rPr>
            </w:pPr>
          </w:p>
        </w:tc>
      </w:tr>
    </w:tbl>
    <w:p w:rsidR="0006124B" w:rsidRDefault="0006124B" w:rsidP="00E379C9">
      <w:pPr>
        <w:spacing w:line="240" w:lineRule="auto"/>
        <w:rPr>
          <w:rFonts w:cs="Arial"/>
          <w:color w:val="FF0000"/>
        </w:rPr>
      </w:pPr>
    </w:p>
    <w:p w:rsidR="005B390C" w:rsidRDefault="005B390C" w:rsidP="00E379C9">
      <w:pPr>
        <w:spacing w:line="240" w:lineRule="auto"/>
        <w:rPr>
          <w:rFonts w:cs="Arial"/>
          <w:color w:val="FF0000"/>
        </w:rPr>
      </w:pPr>
    </w:p>
    <w:p w:rsidR="00C70B6A" w:rsidRDefault="00C70B6A" w:rsidP="005B390C">
      <w:pPr>
        <w:rPr>
          <w:rFonts w:cs="Arial"/>
          <w:color w:val="FF0000"/>
        </w:rPr>
      </w:pPr>
    </w:p>
    <w:p w:rsidR="005B390C" w:rsidRPr="00BB0211" w:rsidRDefault="00BB0211" w:rsidP="005B390C">
      <w:pPr>
        <w:rPr>
          <w:rFonts w:cs="Arial"/>
          <w:b/>
          <w:u w:val="single"/>
        </w:rPr>
      </w:pPr>
      <w:r w:rsidRPr="00BB0211">
        <w:rPr>
          <w:rFonts w:cs="Arial"/>
          <w:b/>
          <w:u w:val="single"/>
        </w:rPr>
        <w:t>Impact</w:t>
      </w:r>
    </w:p>
    <w:p w:rsidR="00A670CD" w:rsidRDefault="005B390C" w:rsidP="005B390C">
      <w:pPr>
        <w:rPr>
          <w:rFonts w:cs="Arial"/>
        </w:rPr>
      </w:pPr>
      <w:r w:rsidRPr="005B390C">
        <w:rPr>
          <w:rFonts w:cs="Arial"/>
        </w:rPr>
        <w:t xml:space="preserve">In excess of 200 STEP (Support to Enhance Progress) sessions have taken place after school. There have been approximately 800 individual attendances by PP pupils at these sessions </w:t>
      </w:r>
      <w:r w:rsidR="00A670CD">
        <w:rPr>
          <w:rFonts w:cs="Arial"/>
        </w:rPr>
        <w:t>during 2013-14.</w:t>
      </w:r>
    </w:p>
    <w:p w:rsidR="005B390C" w:rsidRPr="005B390C" w:rsidRDefault="005B390C" w:rsidP="005B390C">
      <w:pPr>
        <w:rPr>
          <w:rFonts w:cs="Arial"/>
        </w:rPr>
      </w:pPr>
      <w:r w:rsidRPr="005B390C">
        <w:rPr>
          <w:rFonts w:cs="Arial"/>
        </w:rPr>
        <w:t>The following table shows that the attainment gap between Pupil Premium students and Non Pupil Premium students has narrowed in almost all areas between 2013 and 2014.</w:t>
      </w:r>
    </w:p>
    <w:p w:rsidR="005B390C" w:rsidRPr="005B390C" w:rsidRDefault="005B390C" w:rsidP="005B390C">
      <w:pPr>
        <w:rPr>
          <w:rFonts w:cs="Arial"/>
        </w:rPr>
      </w:pPr>
      <w:r w:rsidRPr="005B390C">
        <w:rPr>
          <w:rFonts w:cs="Arial"/>
        </w:rPr>
        <w:t>The intervention and strategies listed above are all key in ensuring that this positive performance continues.</w:t>
      </w:r>
    </w:p>
    <w:p w:rsidR="005B390C" w:rsidRPr="005B390C" w:rsidRDefault="005B390C" w:rsidP="005B390C">
      <w:pPr>
        <w:rPr>
          <w:sz w:val="24"/>
          <w:szCs w:val="24"/>
          <w:u w:val="single"/>
        </w:rPr>
      </w:pPr>
      <w:r w:rsidRPr="005B390C">
        <w:rPr>
          <w:sz w:val="24"/>
          <w:szCs w:val="24"/>
          <w:u w:val="single"/>
        </w:rPr>
        <w:t>Gap Analysis: GCSE 2014 Comparison between Pupil Premium and Non-Pupil Premium results</w:t>
      </w:r>
    </w:p>
    <w:tbl>
      <w:tblPr>
        <w:tblStyle w:val="TableGrid"/>
        <w:tblpPr w:leftFromText="180" w:rightFromText="180" w:vertAnchor="text" w:tblpY="39"/>
        <w:tblW w:w="0" w:type="auto"/>
        <w:tblLook w:val="04A0"/>
      </w:tblPr>
      <w:tblGrid>
        <w:gridCol w:w="2093"/>
        <w:gridCol w:w="1111"/>
        <w:gridCol w:w="1837"/>
        <w:gridCol w:w="2297"/>
        <w:gridCol w:w="952"/>
        <w:gridCol w:w="952"/>
      </w:tblGrid>
      <w:tr w:rsidR="005B390C" w:rsidRPr="005B390C" w:rsidTr="005B390C">
        <w:tc>
          <w:tcPr>
            <w:tcW w:w="2093" w:type="dxa"/>
          </w:tcPr>
          <w:p w:rsidR="005B390C" w:rsidRPr="005B390C" w:rsidRDefault="005B390C" w:rsidP="00BB0211">
            <w:pPr>
              <w:rPr>
                <w:sz w:val="24"/>
                <w:szCs w:val="24"/>
              </w:rPr>
            </w:pPr>
            <w:r w:rsidRPr="005B390C">
              <w:rPr>
                <w:sz w:val="24"/>
                <w:szCs w:val="24"/>
              </w:rPr>
              <w:t>KS 4 Attainment</w:t>
            </w:r>
          </w:p>
        </w:tc>
        <w:tc>
          <w:tcPr>
            <w:tcW w:w="1111" w:type="dxa"/>
          </w:tcPr>
          <w:p w:rsidR="005B390C" w:rsidRPr="005B390C" w:rsidRDefault="005B390C" w:rsidP="00BB0211">
            <w:pPr>
              <w:jc w:val="center"/>
              <w:rPr>
                <w:sz w:val="24"/>
                <w:szCs w:val="24"/>
              </w:rPr>
            </w:pPr>
            <w:r w:rsidRPr="005B390C">
              <w:rPr>
                <w:sz w:val="24"/>
                <w:szCs w:val="24"/>
              </w:rPr>
              <w:t>All Pupils</w:t>
            </w:r>
          </w:p>
        </w:tc>
        <w:tc>
          <w:tcPr>
            <w:tcW w:w="1837" w:type="dxa"/>
          </w:tcPr>
          <w:p w:rsidR="005B390C" w:rsidRPr="005B390C" w:rsidRDefault="005B390C" w:rsidP="00BB0211">
            <w:pPr>
              <w:jc w:val="center"/>
              <w:rPr>
                <w:sz w:val="24"/>
                <w:szCs w:val="24"/>
              </w:rPr>
            </w:pPr>
            <w:r w:rsidRPr="005B390C">
              <w:rPr>
                <w:sz w:val="24"/>
                <w:szCs w:val="24"/>
              </w:rPr>
              <w:t>Pupil Premium</w:t>
            </w:r>
          </w:p>
        </w:tc>
        <w:tc>
          <w:tcPr>
            <w:tcW w:w="2297" w:type="dxa"/>
          </w:tcPr>
          <w:p w:rsidR="005B390C" w:rsidRPr="005B390C" w:rsidRDefault="005B390C" w:rsidP="00BB0211">
            <w:pPr>
              <w:jc w:val="center"/>
              <w:rPr>
                <w:sz w:val="24"/>
                <w:szCs w:val="24"/>
              </w:rPr>
            </w:pPr>
            <w:r w:rsidRPr="005B390C">
              <w:rPr>
                <w:sz w:val="24"/>
                <w:szCs w:val="24"/>
              </w:rPr>
              <w:t>Non Pupil Premium</w:t>
            </w:r>
          </w:p>
        </w:tc>
        <w:tc>
          <w:tcPr>
            <w:tcW w:w="952" w:type="dxa"/>
          </w:tcPr>
          <w:p w:rsidR="005B390C" w:rsidRDefault="005B390C" w:rsidP="00BB0211">
            <w:pPr>
              <w:jc w:val="center"/>
              <w:rPr>
                <w:sz w:val="24"/>
                <w:szCs w:val="24"/>
              </w:rPr>
            </w:pPr>
            <w:r w:rsidRPr="005B390C">
              <w:rPr>
                <w:sz w:val="24"/>
                <w:szCs w:val="24"/>
              </w:rPr>
              <w:t xml:space="preserve">Gap </w:t>
            </w:r>
          </w:p>
          <w:p w:rsidR="005B390C" w:rsidRPr="005B390C" w:rsidRDefault="005B390C" w:rsidP="00BB0211">
            <w:pPr>
              <w:jc w:val="center"/>
              <w:rPr>
                <w:sz w:val="24"/>
                <w:szCs w:val="24"/>
              </w:rPr>
            </w:pPr>
            <w:r w:rsidRPr="005B390C">
              <w:rPr>
                <w:sz w:val="24"/>
                <w:szCs w:val="24"/>
              </w:rPr>
              <w:t>2014</w:t>
            </w:r>
          </w:p>
        </w:tc>
        <w:tc>
          <w:tcPr>
            <w:tcW w:w="952" w:type="dxa"/>
          </w:tcPr>
          <w:p w:rsidR="005B390C" w:rsidRDefault="005B390C" w:rsidP="00BB0211">
            <w:pPr>
              <w:jc w:val="center"/>
              <w:rPr>
                <w:sz w:val="24"/>
                <w:szCs w:val="24"/>
              </w:rPr>
            </w:pPr>
            <w:r w:rsidRPr="005B390C">
              <w:rPr>
                <w:sz w:val="24"/>
                <w:szCs w:val="24"/>
              </w:rPr>
              <w:t xml:space="preserve">Gap </w:t>
            </w:r>
          </w:p>
          <w:p w:rsidR="005B390C" w:rsidRPr="005B390C" w:rsidRDefault="005B390C" w:rsidP="00BB0211">
            <w:pPr>
              <w:jc w:val="center"/>
              <w:rPr>
                <w:sz w:val="24"/>
                <w:szCs w:val="24"/>
              </w:rPr>
            </w:pPr>
            <w:r w:rsidRPr="005B390C">
              <w:rPr>
                <w:sz w:val="24"/>
                <w:szCs w:val="24"/>
              </w:rPr>
              <w:t>2013</w:t>
            </w:r>
          </w:p>
        </w:tc>
      </w:tr>
      <w:tr w:rsidR="005B390C" w:rsidRPr="005B390C" w:rsidTr="005B390C">
        <w:tc>
          <w:tcPr>
            <w:tcW w:w="2093" w:type="dxa"/>
          </w:tcPr>
          <w:p w:rsidR="005B390C" w:rsidRPr="005B390C" w:rsidRDefault="005B390C" w:rsidP="00BB0211">
            <w:pPr>
              <w:rPr>
                <w:sz w:val="24"/>
                <w:szCs w:val="24"/>
              </w:rPr>
            </w:pPr>
            <w:r w:rsidRPr="005B390C">
              <w:rPr>
                <w:sz w:val="24"/>
                <w:szCs w:val="24"/>
              </w:rPr>
              <w:t>% 5A*C EM</w:t>
            </w:r>
          </w:p>
        </w:tc>
        <w:tc>
          <w:tcPr>
            <w:tcW w:w="1111" w:type="dxa"/>
          </w:tcPr>
          <w:p w:rsidR="005B390C" w:rsidRPr="005B390C" w:rsidRDefault="005B390C" w:rsidP="00BB0211">
            <w:pPr>
              <w:jc w:val="center"/>
              <w:rPr>
                <w:sz w:val="24"/>
                <w:szCs w:val="24"/>
              </w:rPr>
            </w:pPr>
            <w:r w:rsidRPr="005B390C">
              <w:rPr>
                <w:sz w:val="24"/>
                <w:szCs w:val="24"/>
              </w:rPr>
              <w:t>66</w:t>
            </w:r>
          </w:p>
        </w:tc>
        <w:tc>
          <w:tcPr>
            <w:tcW w:w="1837" w:type="dxa"/>
          </w:tcPr>
          <w:p w:rsidR="005B390C" w:rsidRPr="005B390C" w:rsidRDefault="005B390C" w:rsidP="00BB0211">
            <w:pPr>
              <w:jc w:val="center"/>
              <w:rPr>
                <w:sz w:val="24"/>
                <w:szCs w:val="24"/>
              </w:rPr>
            </w:pPr>
            <w:r w:rsidRPr="005B390C">
              <w:rPr>
                <w:sz w:val="24"/>
                <w:szCs w:val="24"/>
              </w:rPr>
              <w:t>57.8</w:t>
            </w:r>
          </w:p>
        </w:tc>
        <w:tc>
          <w:tcPr>
            <w:tcW w:w="2297" w:type="dxa"/>
          </w:tcPr>
          <w:p w:rsidR="005B390C" w:rsidRPr="005B390C" w:rsidRDefault="005B390C" w:rsidP="00BB0211">
            <w:pPr>
              <w:jc w:val="center"/>
              <w:rPr>
                <w:sz w:val="24"/>
                <w:szCs w:val="24"/>
              </w:rPr>
            </w:pPr>
            <w:r w:rsidRPr="005B390C">
              <w:rPr>
                <w:sz w:val="24"/>
                <w:szCs w:val="24"/>
              </w:rPr>
              <w:t>69.5</w:t>
            </w:r>
          </w:p>
        </w:tc>
        <w:tc>
          <w:tcPr>
            <w:tcW w:w="952" w:type="dxa"/>
            <w:shd w:val="clear" w:color="auto" w:fill="92D050"/>
          </w:tcPr>
          <w:p w:rsidR="005B390C" w:rsidRPr="005B390C" w:rsidRDefault="005B390C" w:rsidP="00BB0211">
            <w:pPr>
              <w:jc w:val="center"/>
              <w:rPr>
                <w:sz w:val="24"/>
                <w:szCs w:val="24"/>
              </w:rPr>
            </w:pPr>
            <w:r w:rsidRPr="005B390C">
              <w:rPr>
                <w:sz w:val="24"/>
                <w:szCs w:val="24"/>
              </w:rPr>
              <w:t>-11.7</w:t>
            </w:r>
          </w:p>
        </w:tc>
        <w:tc>
          <w:tcPr>
            <w:tcW w:w="952" w:type="dxa"/>
          </w:tcPr>
          <w:p w:rsidR="005B390C" w:rsidRPr="005B390C" w:rsidRDefault="005B390C" w:rsidP="00BB0211">
            <w:pPr>
              <w:jc w:val="center"/>
              <w:rPr>
                <w:sz w:val="24"/>
                <w:szCs w:val="24"/>
              </w:rPr>
            </w:pPr>
            <w:r w:rsidRPr="005B390C">
              <w:rPr>
                <w:sz w:val="24"/>
                <w:szCs w:val="24"/>
              </w:rPr>
              <w:t>-20</w:t>
            </w:r>
          </w:p>
        </w:tc>
      </w:tr>
      <w:tr w:rsidR="005B390C" w:rsidRPr="005B390C" w:rsidTr="005B390C">
        <w:tc>
          <w:tcPr>
            <w:tcW w:w="2093" w:type="dxa"/>
          </w:tcPr>
          <w:p w:rsidR="005B390C" w:rsidRPr="005B390C" w:rsidRDefault="005B390C" w:rsidP="00BB0211">
            <w:pPr>
              <w:rPr>
                <w:sz w:val="24"/>
                <w:szCs w:val="24"/>
              </w:rPr>
            </w:pPr>
            <w:r w:rsidRPr="005B390C">
              <w:rPr>
                <w:sz w:val="24"/>
                <w:szCs w:val="24"/>
              </w:rPr>
              <w:t>APS Capped 8</w:t>
            </w:r>
          </w:p>
        </w:tc>
        <w:tc>
          <w:tcPr>
            <w:tcW w:w="1111" w:type="dxa"/>
          </w:tcPr>
          <w:p w:rsidR="005B390C" w:rsidRPr="005B390C" w:rsidRDefault="005B390C" w:rsidP="00BB0211">
            <w:pPr>
              <w:jc w:val="center"/>
              <w:rPr>
                <w:sz w:val="24"/>
                <w:szCs w:val="24"/>
              </w:rPr>
            </w:pPr>
            <w:r w:rsidRPr="005B390C">
              <w:rPr>
                <w:sz w:val="24"/>
                <w:szCs w:val="24"/>
              </w:rPr>
              <w:t>334</w:t>
            </w:r>
          </w:p>
        </w:tc>
        <w:tc>
          <w:tcPr>
            <w:tcW w:w="1837" w:type="dxa"/>
          </w:tcPr>
          <w:p w:rsidR="005B390C" w:rsidRPr="005B390C" w:rsidRDefault="005B390C" w:rsidP="00BB0211">
            <w:pPr>
              <w:jc w:val="center"/>
              <w:rPr>
                <w:sz w:val="24"/>
                <w:szCs w:val="24"/>
              </w:rPr>
            </w:pPr>
            <w:r w:rsidRPr="005B390C">
              <w:rPr>
                <w:sz w:val="24"/>
                <w:szCs w:val="24"/>
              </w:rPr>
              <w:t>308</w:t>
            </w:r>
          </w:p>
        </w:tc>
        <w:tc>
          <w:tcPr>
            <w:tcW w:w="2297" w:type="dxa"/>
          </w:tcPr>
          <w:p w:rsidR="005B390C" w:rsidRPr="005B390C" w:rsidRDefault="005B390C" w:rsidP="00BB0211">
            <w:pPr>
              <w:jc w:val="center"/>
              <w:rPr>
                <w:sz w:val="24"/>
                <w:szCs w:val="24"/>
              </w:rPr>
            </w:pPr>
            <w:r w:rsidRPr="005B390C">
              <w:rPr>
                <w:sz w:val="24"/>
                <w:szCs w:val="24"/>
              </w:rPr>
              <w:t>343</w:t>
            </w:r>
          </w:p>
        </w:tc>
        <w:tc>
          <w:tcPr>
            <w:tcW w:w="952" w:type="dxa"/>
            <w:shd w:val="clear" w:color="auto" w:fill="92D050"/>
          </w:tcPr>
          <w:p w:rsidR="005B390C" w:rsidRPr="005B390C" w:rsidRDefault="005B390C" w:rsidP="00BB0211">
            <w:pPr>
              <w:jc w:val="center"/>
              <w:rPr>
                <w:sz w:val="24"/>
                <w:szCs w:val="24"/>
              </w:rPr>
            </w:pPr>
            <w:r w:rsidRPr="005B390C">
              <w:rPr>
                <w:sz w:val="24"/>
                <w:szCs w:val="24"/>
              </w:rPr>
              <w:t>-35</w:t>
            </w:r>
          </w:p>
        </w:tc>
        <w:tc>
          <w:tcPr>
            <w:tcW w:w="952" w:type="dxa"/>
          </w:tcPr>
          <w:p w:rsidR="005B390C" w:rsidRPr="005B390C" w:rsidRDefault="005B390C" w:rsidP="00BB0211">
            <w:pPr>
              <w:jc w:val="center"/>
              <w:rPr>
                <w:sz w:val="24"/>
                <w:szCs w:val="24"/>
              </w:rPr>
            </w:pPr>
            <w:r w:rsidRPr="005B390C">
              <w:rPr>
                <w:sz w:val="24"/>
                <w:szCs w:val="24"/>
              </w:rPr>
              <w:t>-37</w:t>
            </w:r>
          </w:p>
        </w:tc>
      </w:tr>
      <w:tr w:rsidR="005B390C" w:rsidRPr="005B390C" w:rsidTr="005B390C">
        <w:tc>
          <w:tcPr>
            <w:tcW w:w="2093" w:type="dxa"/>
          </w:tcPr>
          <w:p w:rsidR="005B390C" w:rsidRPr="005B390C" w:rsidRDefault="005B390C" w:rsidP="00BB0211">
            <w:pPr>
              <w:rPr>
                <w:sz w:val="24"/>
                <w:szCs w:val="24"/>
              </w:rPr>
            </w:pPr>
            <w:r w:rsidRPr="005B390C">
              <w:rPr>
                <w:sz w:val="24"/>
                <w:szCs w:val="24"/>
              </w:rPr>
              <w:t>% A*-G</w:t>
            </w:r>
          </w:p>
        </w:tc>
        <w:tc>
          <w:tcPr>
            <w:tcW w:w="1111" w:type="dxa"/>
          </w:tcPr>
          <w:p w:rsidR="005B390C" w:rsidRPr="005B390C" w:rsidRDefault="005B390C" w:rsidP="00BB0211">
            <w:pPr>
              <w:jc w:val="center"/>
              <w:rPr>
                <w:sz w:val="24"/>
                <w:szCs w:val="24"/>
              </w:rPr>
            </w:pPr>
            <w:r w:rsidRPr="005B390C">
              <w:rPr>
                <w:sz w:val="24"/>
                <w:szCs w:val="24"/>
              </w:rPr>
              <w:t>100</w:t>
            </w:r>
          </w:p>
        </w:tc>
        <w:tc>
          <w:tcPr>
            <w:tcW w:w="1837" w:type="dxa"/>
          </w:tcPr>
          <w:p w:rsidR="005B390C" w:rsidRPr="005B390C" w:rsidRDefault="005B390C" w:rsidP="00BB0211">
            <w:pPr>
              <w:jc w:val="center"/>
              <w:rPr>
                <w:sz w:val="24"/>
                <w:szCs w:val="24"/>
              </w:rPr>
            </w:pPr>
            <w:r w:rsidRPr="005B390C">
              <w:rPr>
                <w:sz w:val="24"/>
                <w:szCs w:val="24"/>
              </w:rPr>
              <w:t>100</w:t>
            </w:r>
          </w:p>
        </w:tc>
        <w:tc>
          <w:tcPr>
            <w:tcW w:w="2297" w:type="dxa"/>
          </w:tcPr>
          <w:p w:rsidR="005B390C" w:rsidRPr="005B390C" w:rsidRDefault="005B390C" w:rsidP="00BB0211">
            <w:pPr>
              <w:jc w:val="center"/>
              <w:rPr>
                <w:sz w:val="24"/>
                <w:szCs w:val="24"/>
              </w:rPr>
            </w:pPr>
            <w:r w:rsidRPr="005B390C">
              <w:rPr>
                <w:sz w:val="24"/>
                <w:szCs w:val="24"/>
              </w:rPr>
              <w:t>100</w:t>
            </w:r>
          </w:p>
        </w:tc>
        <w:tc>
          <w:tcPr>
            <w:tcW w:w="952" w:type="dxa"/>
            <w:shd w:val="clear" w:color="auto" w:fill="92D050"/>
          </w:tcPr>
          <w:p w:rsidR="005B390C" w:rsidRPr="005B390C" w:rsidRDefault="005B390C" w:rsidP="00BB0211">
            <w:pPr>
              <w:jc w:val="center"/>
              <w:rPr>
                <w:sz w:val="24"/>
                <w:szCs w:val="24"/>
              </w:rPr>
            </w:pPr>
            <w:r w:rsidRPr="005B390C">
              <w:rPr>
                <w:sz w:val="24"/>
                <w:szCs w:val="24"/>
              </w:rPr>
              <w:t>0</w:t>
            </w:r>
          </w:p>
        </w:tc>
        <w:tc>
          <w:tcPr>
            <w:tcW w:w="952" w:type="dxa"/>
          </w:tcPr>
          <w:p w:rsidR="005B390C" w:rsidRPr="005B390C" w:rsidRDefault="005B390C" w:rsidP="00BB0211">
            <w:pPr>
              <w:jc w:val="center"/>
              <w:rPr>
                <w:sz w:val="24"/>
                <w:szCs w:val="24"/>
              </w:rPr>
            </w:pPr>
            <w:r w:rsidRPr="005B390C">
              <w:rPr>
                <w:sz w:val="24"/>
                <w:szCs w:val="24"/>
              </w:rPr>
              <w:t>-1</w:t>
            </w:r>
          </w:p>
        </w:tc>
      </w:tr>
      <w:tr w:rsidR="005B390C" w:rsidRPr="005B390C" w:rsidTr="005B390C">
        <w:tc>
          <w:tcPr>
            <w:tcW w:w="2093" w:type="dxa"/>
          </w:tcPr>
          <w:p w:rsidR="005B390C" w:rsidRPr="005B390C" w:rsidRDefault="005B390C" w:rsidP="00BB0211">
            <w:pPr>
              <w:rPr>
                <w:sz w:val="24"/>
                <w:szCs w:val="24"/>
              </w:rPr>
            </w:pPr>
            <w:r w:rsidRPr="005B390C">
              <w:rPr>
                <w:sz w:val="24"/>
                <w:szCs w:val="24"/>
              </w:rPr>
              <w:t>% A*-C English</w:t>
            </w:r>
          </w:p>
        </w:tc>
        <w:tc>
          <w:tcPr>
            <w:tcW w:w="1111" w:type="dxa"/>
          </w:tcPr>
          <w:p w:rsidR="005B390C" w:rsidRPr="005B390C" w:rsidRDefault="005B390C" w:rsidP="00BB0211">
            <w:pPr>
              <w:jc w:val="center"/>
              <w:rPr>
                <w:sz w:val="24"/>
                <w:szCs w:val="24"/>
              </w:rPr>
            </w:pPr>
            <w:r w:rsidRPr="005B390C">
              <w:rPr>
                <w:sz w:val="24"/>
                <w:szCs w:val="24"/>
              </w:rPr>
              <w:t>87.5</w:t>
            </w:r>
          </w:p>
        </w:tc>
        <w:tc>
          <w:tcPr>
            <w:tcW w:w="1837" w:type="dxa"/>
          </w:tcPr>
          <w:p w:rsidR="005B390C" w:rsidRPr="005B390C" w:rsidRDefault="005B390C" w:rsidP="00BB0211">
            <w:pPr>
              <w:jc w:val="center"/>
              <w:rPr>
                <w:sz w:val="24"/>
                <w:szCs w:val="24"/>
              </w:rPr>
            </w:pPr>
            <w:r w:rsidRPr="005B390C">
              <w:rPr>
                <w:sz w:val="24"/>
                <w:szCs w:val="24"/>
              </w:rPr>
              <w:t>84.4</w:t>
            </w:r>
          </w:p>
        </w:tc>
        <w:tc>
          <w:tcPr>
            <w:tcW w:w="2297" w:type="dxa"/>
          </w:tcPr>
          <w:p w:rsidR="005B390C" w:rsidRPr="005B390C" w:rsidRDefault="005B390C" w:rsidP="00BB0211">
            <w:pPr>
              <w:jc w:val="center"/>
              <w:rPr>
                <w:sz w:val="24"/>
                <w:szCs w:val="24"/>
              </w:rPr>
            </w:pPr>
            <w:r w:rsidRPr="005B390C">
              <w:rPr>
                <w:sz w:val="24"/>
                <w:szCs w:val="24"/>
              </w:rPr>
              <w:t>89.3</w:t>
            </w:r>
          </w:p>
        </w:tc>
        <w:tc>
          <w:tcPr>
            <w:tcW w:w="952" w:type="dxa"/>
            <w:shd w:val="clear" w:color="auto" w:fill="92D050"/>
          </w:tcPr>
          <w:p w:rsidR="005B390C" w:rsidRPr="005B390C" w:rsidRDefault="005B390C" w:rsidP="00BB0211">
            <w:pPr>
              <w:jc w:val="center"/>
              <w:rPr>
                <w:sz w:val="24"/>
                <w:szCs w:val="24"/>
              </w:rPr>
            </w:pPr>
            <w:r w:rsidRPr="005B390C">
              <w:rPr>
                <w:sz w:val="24"/>
                <w:szCs w:val="24"/>
              </w:rPr>
              <w:t>-4.9</w:t>
            </w:r>
          </w:p>
        </w:tc>
        <w:tc>
          <w:tcPr>
            <w:tcW w:w="952" w:type="dxa"/>
          </w:tcPr>
          <w:p w:rsidR="005B390C" w:rsidRPr="005B390C" w:rsidRDefault="005B390C" w:rsidP="00BB0211">
            <w:pPr>
              <w:jc w:val="center"/>
              <w:rPr>
                <w:sz w:val="24"/>
                <w:szCs w:val="24"/>
              </w:rPr>
            </w:pPr>
            <w:r w:rsidRPr="005B390C">
              <w:rPr>
                <w:sz w:val="24"/>
                <w:szCs w:val="24"/>
              </w:rPr>
              <w:t>-5.2</w:t>
            </w:r>
          </w:p>
        </w:tc>
      </w:tr>
      <w:tr w:rsidR="005B390C" w:rsidRPr="005B390C" w:rsidTr="005B390C">
        <w:tc>
          <w:tcPr>
            <w:tcW w:w="2093" w:type="dxa"/>
          </w:tcPr>
          <w:p w:rsidR="005B390C" w:rsidRPr="005B390C" w:rsidRDefault="005B390C" w:rsidP="00BB0211">
            <w:pPr>
              <w:rPr>
                <w:sz w:val="24"/>
                <w:szCs w:val="24"/>
              </w:rPr>
            </w:pPr>
            <w:r w:rsidRPr="005B390C">
              <w:rPr>
                <w:sz w:val="24"/>
                <w:szCs w:val="24"/>
              </w:rPr>
              <w:t>% A*-C Maths</w:t>
            </w:r>
          </w:p>
        </w:tc>
        <w:tc>
          <w:tcPr>
            <w:tcW w:w="1111" w:type="dxa"/>
          </w:tcPr>
          <w:p w:rsidR="005B390C" w:rsidRPr="005B390C" w:rsidRDefault="005B390C" w:rsidP="00BB0211">
            <w:pPr>
              <w:jc w:val="center"/>
              <w:rPr>
                <w:sz w:val="24"/>
                <w:szCs w:val="24"/>
              </w:rPr>
            </w:pPr>
            <w:r w:rsidRPr="005B390C">
              <w:rPr>
                <w:sz w:val="24"/>
                <w:szCs w:val="24"/>
              </w:rPr>
              <w:t>78.4</w:t>
            </w:r>
          </w:p>
        </w:tc>
        <w:tc>
          <w:tcPr>
            <w:tcW w:w="1837" w:type="dxa"/>
          </w:tcPr>
          <w:p w:rsidR="005B390C" w:rsidRPr="005B390C" w:rsidRDefault="005B390C" w:rsidP="00BB0211">
            <w:pPr>
              <w:jc w:val="center"/>
              <w:rPr>
                <w:sz w:val="24"/>
                <w:szCs w:val="24"/>
              </w:rPr>
            </w:pPr>
            <w:r w:rsidRPr="005B390C">
              <w:rPr>
                <w:sz w:val="24"/>
                <w:szCs w:val="24"/>
              </w:rPr>
              <w:t>73.3</w:t>
            </w:r>
          </w:p>
        </w:tc>
        <w:tc>
          <w:tcPr>
            <w:tcW w:w="2297" w:type="dxa"/>
          </w:tcPr>
          <w:p w:rsidR="005B390C" w:rsidRPr="005B390C" w:rsidRDefault="005B390C" w:rsidP="00BB0211">
            <w:pPr>
              <w:jc w:val="center"/>
              <w:rPr>
                <w:sz w:val="24"/>
                <w:szCs w:val="24"/>
              </w:rPr>
            </w:pPr>
            <w:r w:rsidRPr="005B390C">
              <w:rPr>
                <w:sz w:val="24"/>
                <w:szCs w:val="24"/>
              </w:rPr>
              <w:t>80.2</w:t>
            </w:r>
          </w:p>
        </w:tc>
        <w:tc>
          <w:tcPr>
            <w:tcW w:w="952" w:type="dxa"/>
            <w:shd w:val="clear" w:color="auto" w:fill="92D050"/>
          </w:tcPr>
          <w:p w:rsidR="005B390C" w:rsidRPr="005B390C" w:rsidRDefault="005B390C" w:rsidP="00BB0211">
            <w:pPr>
              <w:jc w:val="center"/>
              <w:rPr>
                <w:sz w:val="24"/>
                <w:szCs w:val="24"/>
              </w:rPr>
            </w:pPr>
            <w:r w:rsidRPr="005B390C">
              <w:rPr>
                <w:sz w:val="24"/>
                <w:szCs w:val="24"/>
              </w:rPr>
              <w:t>-6.9</w:t>
            </w:r>
          </w:p>
        </w:tc>
        <w:tc>
          <w:tcPr>
            <w:tcW w:w="952" w:type="dxa"/>
          </w:tcPr>
          <w:p w:rsidR="005B390C" w:rsidRPr="005B390C" w:rsidRDefault="005B390C" w:rsidP="00BB0211">
            <w:pPr>
              <w:jc w:val="center"/>
              <w:rPr>
                <w:sz w:val="24"/>
                <w:szCs w:val="24"/>
              </w:rPr>
            </w:pPr>
            <w:r w:rsidRPr="005B390C">
              <w:rPr>
                <w:sz w:val="24"/>
                <w:szCs w:val="24"/>
              </w:rPr>
              <w:t>-8</w:t>
            </w:r>
          </w:p>
        </w:tc>
      </w:tr>
      <w:tr w:rsidR="005B390C" w:rsidRPr="005B390C" w:rsidTr="005B390C">
        <w:tc>
          <w:tcPr>
            <w:tcW w:w="2093" w:type="dxa"/>
          </w:tcPr>
          <w:p w:rsidR="005B390C" w:rsidRPr="005B390C" w:rsidRDefault="005B390C" w:rsidP="00BB0211">
            <w:pPr>
              <w:rPr>
                <w:sz w:val="24"/>
                <w:szCs w:val="24"/>
              </w:rPr>
            </w:pPr>
            <w:r w:rsidRPr="005B390C">
              <w:rPr>
                <w:sz w:val="24"/>
                <w:szCs w:val="24"/>
              </w:rPr>
              <w:t>% 2x(A*-C) Science</w:t>
            </w:r>
          </w:p>
        </w:tc>
        <w:tc>
          <w:tcPr>
            <w:tcW w:w="1111" w:type="dxa"/>
          </w:tcPr>
          <w:p w:rsidR="005B390C" w:rsidRPr="005B390C" w:rsidRDefault="005B390C" w:rsidP="00BB0211">
            <w:pPr>
              <w:jc w:val="center"/>
              <w:rPr>
                <w:sz w:val="24"/>
                <w:szCs w:val="24"/>
              </w:rPr>
            </w:pPr>
            <w:r w:rsidRPr="005B390C">
              <w:rPr>
                <w:sz w:val="24"/>
                <w:szCs w:val="24"/>
              </w:rPr>
              <w:t>76</w:t>
            </w:r>
          </w:p>
        </w:tc>
        <w:tc>
          <w:tcPr>
            <w:tcW w:w="1837" w:type="dxa"/>
          </w:tcPr>
          <w:p w:rsidR="005B390C" w:rsidRPr="005B390C" w:rsidRDefault="005B390C" w:rsidP="00BB0211">
            <w:pPr>
              <w:jc w:val="center"/>
              <w:rPr>
                <w:sz w:val="24"/>
                <w:szCs w:val="24"/>
              </w:rPr>
            </w:pPr>
            <w:r w:rsidRPr="005B390C">
              <w:rPr>
                <w:sz w:val="24"/>
                <w:szCs w:val="24"/>
              </w:rPr>
              <w:t>71</w:t>
            </w:r>
          </w:p>
        </w:tc>
        <w:tc>
          <w:tcPr>
            <w:tcW w:w="2297" w:type="dxa"/>
          </w:tcPr>
          <w:p w:rsidR="005B390C" w:rsidRPr="005B390C" w:rsidRDefault="005B390C" w:rsidP="00BB0211">
            <w:pPr>
              <w:jc w:val="center"/>
              <w:rPr>
                <w:sz w:val="24"/>
                <w:szCs w:val="24"/>
              </w:rPr>
            </w:pPr>
            <w:r w:rsidRPr="005B390C">
              <w:rPr>
                <w:sz w:val="24"/>
                <w:szCs w:val="24"/>
              </w:rPr>
              <w:t>77</w:t>
            </w:r>
          </w:p>
        </w:tc>
        <w:tc>
          <w:tcPr>
            <w:tcW w:w="952" w:type="dxa"/>
            <w:shd w:val="clear" w:color="auto" w:fill="92D050"/>
          </w:tcPr>
          <w:p w:rsidR="005B390C" w:rsidRPr="005B390C" w:rsidRDefault="005B390C" w:rsidP="00BB0211">
            <w:pPr>
              <w:jc w:val="center"/>
              <w:rPr>
                <w:sz w:val="24"/>
                <w:szCs w:val="24"/>
              </w:rPr>
            </w:pPr>
            <w:r w:rsidRPr="005B390C">
              <w:rPr>
                <w:sz w:val="24"/>
                <w:szCs w:val="24"/>
              </w:rPr>
              <w:t>-6</w:t>
            </w:r>
          </w:p>
        </w:tc>
        <w:tc>
          <w:tcPr>
            <w:tcW w:w="952" w:type="dxa"/>
          </w:tcPr>
          <w:p w:rsidR="005B390C" w:rsidRPr="005B390C" w:rsidRDefault="005B390C" w:rsidP="00BB0211">
            <w:pPr>
              <w:jc w:val="center"/>
              <w:rPr>
                <w:sz w:val="24"/>
                <w:szCs w:val="24"/>
              </w:rPr>
            </w:pPr>
            <w:r w:rsidRPr="005B390C">
              <w:rPr>
                <w:sz w:val="24"/>
                <w:szCs w:val="24"/>
              </w:rPr>
              <w:t>-24</w:t>
            </w:r>
          </w:p>
        </w:tc>
      </w:tr>
      <w:tr w:rsidR="005B390C" w:rsidRPr="005B390C" w:rsidTr="005B390C">
        <w:tc>
          <w:tcPr>
            <w:tcW w:w="2093" w:type="dxa"/>
          </w:tcPr>
          <w:p w:rsidR="005B390C" w:rsidRPr="005B390C" w:rsidRDefault="005B390C" w:rsidP="00BB0211">
            <w:pPr>
              <w:rPr>
                <w:sz w:val="24"/>
                <w:szCs w:val="24"/>
              </w:rPr>
            </w:pPr>
            <w:r w:rsidRPr="005B390C">
              <w:rPr>
                <w:sz w:val="24"/>
                <w:szCs w:val="24"/>
              </w:rPr>
              <w:t>% A*-A English</w:t>
            </w:r>
          </w:p>
        </w:tc>
        <w:tc>
          <w:tcPr>
            <w:tcW w:w="1111" w:type="dxa"/>
          </w:tcPr>
          <w:p w:rsidR="005B390C" w:rsidRPr="005B390C" w:rsidRDefault="005B390C" w:rsidP="00BB0211">
            <w:pPr>
              <w:jc w:val="center"/>
              <w:rPr>
                <w:sz w:val="24"/>
                <w:szCs w:val="24"/>
              </w:rPr>
            </w:pPr>
            <w:r w:rsidRPr="005B390C">
              <w:rPr>
                <w:sz w:val="24"/>
                <w:szCs w:val="24"/>
              </w:rPr>
              <w:t>23</w:t>
            </w:r>
          </w:p>
        </w:tc>
        <w:tc>
          <w:tcPr>
            <w:tcW w:w="1837" w:type="dxa"/>
          </w:tcPr>
          <w:p w:rsidR="005B390C" w:rsidRPr="005B390C" w:rsidRDefault="005B390C" w:rsidP="00BB0211">
            <w:pPr>
              <w:jc w:val="center"/>
              <w:rPr>
                <w:sz w:val="24"/>
                <w:szCs w:val="24"/>
              </w:rPr>
            </w:pPr>
            <w:r w:rsidRPr="005B390C">
              <w:rPr>
                <w:sz w:val="24"/>
                <w:szCs w:val="24"/>
              </w:rPr>
              <w:t>9</w:t>
            </w:r>
          </w:p>
        </w:tc>
        <w:tc>
          <w:tcPr>
            <w:tcW w:w="2297" w:type="dxa"/>
          </w:tcPr>
          <w:p w:rsidR="005B390C" w:rsidRPr="005B390C" w:rsidRDefault="005B390C" w:rsidP="00BB0211">
            <w:pPr>
              <w:jc w:val="center"/>
              <w:rPr>
                <w:sz w:val="24"/>
                <w:szCs w:val="24"/>
              </w:rPr>
            </w:pPr>
            <w:r w:rsidRPr="005B390C">
              <w:rPr>
                <w:sz w:val="24"/>
                <w:szCs w:val="24"/>
              </w:rPr>
              <w:t>27</w:t>
            </w:r>
          </w:p>
        </w:tc>
        <w:tc>
          <w:tcPr>
            <w:tcW w:w="952" w:type="dxa"/>
            <w:shd w:val="clear" w:color="auto" w:fill="92D050"/>
          </w:tcPr>
          <w:p w:rsidR="005B390C" w:rsidRPr="005B390C" w:rsidRDefault="005B390C" w:rsidP="00BB0211">
            <w:pPr>
              <w:jc w:val="center"/>
              <w:rPr>
                <w:sz w:val="24"/>
                <w:szCs w:val="24"/>
              </w:rPr>
            </w:pPr>
            <w:r w:rsidRPr="005B390C">
              <w:rPr>
                <w:sz w:val="24"/>
                <w:szCs w:val="24"/>
              </w:rPr>
              <w:t>-18</w:t>
            </w:r>
          </w:p>
        </w:tc>
        <w:tc>
          <w:tcPr>
            <w:tcW w:w="952" w:type="dxa"/>
          </w:tcPr>
          <w:p w:rsidR="005B390C" w:rsidRPr="005B390C" w:rsidRDefault="005B390C" w:rsidP="00BB0211">
            <w:pPr>
              <w:jc w:val="center"/>
              <w:rPr>
                <w:sz w:val="24"/>
                <w:szCs w:val="24"/>
              </w:rPr>
            </w:pPr>
            <w:r w:rsidRPr="005B390C">
              <w:rPr>
                <w:sz w:val="24"/>
                <w:szCs w:val="24"/>
              </w:rPr>
              <w:t>-24</w:t>
            </w:r>
          </w:p>
        </w:tc>
      </w:tr>
      <w:tr w:rsidR="005B390C" w:rsidRPr="005B390C" w:rsidTr="005B390C">
        <w:tc>
          <w:tcPr>
            <w:tcW w:w="2093" w:type="dxa"/>
          </w:tcPr>
          <w:p w:rsidR="005B390C" w:rsidRPr="005B390C" w:rsidRDefault="005B390C" w:rsidP="00BB0211">
            <w:pPr>
              <w:rPr>
                <w:sz w:val="24"/>
                <w:szCs w:val="24"/>
              </w:rPr>
            </w:pPr>
            <w:r w:rsidRPr="005B390C">
              <w:rPr>
                <w:sz w:val="24"/>
                <w:szCs w:val="24"/>
              </w:rPr>
              <w:t>% A*-A Maths</w:t>
            </w:r>
          </w:p>
        </w:tc>
        <w:tc>
          <w:tcPr>
            <w:tcW w:w="1111" w:type="dxa"/>
          </w:tcPr>
          <w:p w:rsidR="005B390C" w:rsidRPr="005B390C" w:rsidRDefault="005B390C" w:rsidP="00BB0211">
            <w:pPr>
              <w:jc w:val="center"/>
              <w:rPr>
                <w:sz w:val="24"/>
                <w:szCs w:val="24"/>
              </w:rPr>
            </w:pPr>
            <w:r w:rsidRPr="005B390C">
              <w:rPr>
                <w:sz w:val="24"/>
                <w:szCs w:val="24"/>
              </w:rPr>
              <w:t>22</w:t>
            </w:r>
          </w:p>
        </w:tc>
        <w:tc>
          <w:tcPr>
            <w:tcW w:w="1837" w:type="dxa"/>
          </w:tcPr>
          <w:p w:rsidR="005B390C" w:rsidRPr="005B390C" w:rsidRDefault="005B390C" w:rsidP="00BB0211">
            <w:pPr>
              <w:jc w:val="center"/>
              <w:rPr>
                <w:sz w:val="24"/>
                <w:szCs w:val="24"/>
              </w:rPr>
            </w:pPr>
            <w:r w:rsidRPr="005B390C">
              <w:rPr>
                <w:sz w:val="24"/>
                <w:szCs w:val="24"/>
              </w:rPr>
              <w:t>16</w:t>
            </w:r>
          </w:p>
        </w:tc>
        <w:tc>
          <w:tcPr>
            <w:tcW w:w="2297" w:type="dxa"/>
          </w:tcPr>
          <w:p w:rsidR="005B390C" w:rsidRPr="005B390C" w:rsidRDefault="005B390C" w:rsidP="00BB0211">
            <w:pPr>
              <w:jc w:val="center"/>
              <w:rPr>
                <w:sz w:val="24"/>
                <w:szCs w:val="24"/>
              </w:rPr>
            </w:pPr>
            <w:r w:rsidRPr="005B390C">
              <w:rPr>
                <w:sz w:val="24"/>
                <w:szCs w:val="24"/>
              </w:rPr>
              <w:t>24</w:t>
            </w:r>
          </w:p>
        </w:tc>
        <w:tc>
          <w:tcPr>
            <w:tcW w:w="952" w:type="dxa"/>
            <w:shd w:val="clear" w:color="auto" w:fill="92D050"/>
          </w:tcPr>
          <w:p w:rsidR="005B390C" w:rsidRPr="005B390C" w:rsidRDefault="005B390C" w:rsidP="00BB0211">
            <w:pPr>
              <w:jc w:val="center"/>
              <w:rPr>
                <w:sz w:val="24"/>
                <w:szCs w:val="24"/>
              </w:rPr>
            </w:pPr>
            <w:r w:rsidRPr="005B390C">
              <w:rPr>
                <w:sz w:val="24"/>
                <w:szCs w:val="24"/>
              </w:rPr>
              <w:t>-8</w:t>
            </w:r>
          </w:p>
        </w:tc>
        <w:tc>
          <w:tcPr>
            <w:tcW w:w="952" w:type="dxa"/>
          </w:tcPr>
          <w:p w:rsidR="005B390C" w:rsidRPr="005B390C" w:rsidRDefault="005B390C" w:rsidP="00BB0211">
            <w:pPr>
              <w:jc w:val="center"/>
              <w:rPr>
                <w:sz w:val="24"/>
                <w:szCs w:val="24"/>
              </w:rPr>
            </w:pPr>
            <w:r w:rsidRPr="005B390C">
              <w:rPr>
                <w:sz w:val="24"/>
                <w:szCs w:val="24"/>
              </w:rPr>
              <w:t>-27</w:t>
            </w:r>
          </w:p>
        </w:tc>
      </w:tr>
      <w:tr w:rsidR="005B390C" w:rsidRPr="005B390C" w:rsidTr="005B390C">
        <w:tc>
          <w:tcPr>
            <w:tcW w:w="2093" w:type="dxa"/>
          </w:tcPr>
          <w:p w:rsidR="005B390C" w:rsidRPr="005B390C" w:rsidRDefault="005B390C" w:rsidP="00BB0211">
            <w:pPr>
              <w:rPr>
                <w:sz w:val="24"/>
                <w:szCs w:val="24"/>
              </w:rPr>
            </w:pPr>
            <w:r w:rsidRPr="005B390C">
              <w:rPr>
                <w:sz w:val="24"/>
                <w:szCs w:val="24"/>
              </w:rPr>
              <w:t>APS English</w:t>
            </w:r>
          </w:p>
        </w:tc>
        <w:tc>
          <w:tcPr>
            <w:tcW w:w="1111" w:type="dxa"/>
          </w:tcPr>
          <w:p w:rsidR="005B390C" w:rsidRPr="005B390C" w:rsidRDefault="005B390C" w:rsidP="00BB0211">
            <w:pPr>
              <w:jc w:val="center"/>
              <w:rPr>
                <w:sz w:val="24"/>
                <w:szCs w:val="24"/>
              </w:rPr>
            </w:pPr>
            <w:r w:rsidRPr="005B390C">
              <w:rPr>
                <w:sz w:val="24"/>
                <w:szCs w:val="24"/>
              </w:rPr>
              <w:t>44</w:t>
            </w:r>
          </w:p>
        </w:tc>
        <w:tc>
          <w:tcPr>
            <w:tcW w:w="1837" w:type="dxa"/>
          </w:tcPr>
          <w:p w:rsidR="005B390C" w:rsidRPr="005B390C" w:rsidRDefault="005B390C" w:rsidP="00BB0211">
            <w:pPr>
              <w:jc w:val="center"/>
              <w:rPr>
                <w:sz w:val="24"/>
                <w:szCs w:val="24"/>
              </w:rPr>
            </w:pPr>
            <w:r w:rsidRPr="005B390C">
              <w:rPr>
                <w:sz w:val="24"/>
                <w:szCs w:val="24"/>
              </w:rPr>
              <w:t>41.6</w:t>
            </w:r>
          </w:p>
        </w:tc>
        <w:tc>
          <w:tcPr>
            <w:tcW w:w="2297" w:type="dxa"/>
          </w:tcPr>
          <w:p w:rsidR="005B390C" w:rsidRPr="005B390C" w:rsidRDefault="005B390C" w:rsidP="00BB0211">
            <w:pPr>
              <w:jc w:val="center"/>
              <w:rPr>
                <w:sz w:val="24"/>
                <w:szCs w:val="24"/>
              </w:rPr>
            </w:pPr>
            <w:r w:rsidRPr="005B390C">
              <w:rPr>
                <w:sz w:val="24"/>
                <w:szCs w:val="24"/>
              </w:rPr>
              <w:t>44.8</w:t>
            </w:r>
          </w:p>
        </w:tc>
        <w:tc>
          <w:tcPr>
            <w:tcW w:w="952" w:type="dxa"/>
            <w:shd w:val="clear" w:color="auto" w:fill="92D050"/>
          </w:tcPr>
          <w:p w:rsidR="005B390C" w:rsidRPr="005B390C" w:rsidRDefault="005B390C" w:rsidP="00BB0211">
            <w:pPr>
              <w:jc w:val="center"/>
              <w:rPr>
                <w:sz w:val="24"/>
                <w:szCs w:val="24"/>
              </w:rPr>
            </w:pPr>
            <w:r w:rsidRPr="005B390C">
              <w:rPr>
                <w:sz w:val="24"/>
                <w:szCs w:val="24"/>
              </w:rPr>
              <w:t>-3.2</w:t>
            </w:r>
          </w:p>
        </w:tc>
        <w:tc>
          <w:tcPr>
            <w:tcW w:w="952" w:type="dxa"/>
          </w:tcPr>
          <w:p w:rsidR="005B390C" w:rsidRPr="005B390C" w:rsidRDefault="005B390C" w:rsidP="00BB0211">
            <w:pPr>
              <w:jc w:val="center"/>
              <w:rPr>
                <w:sz w:val="24"/>
                <w:szCs w:val="24"/>
              </w:rPr>
            </w:pPr>
            <w:r w:rsidRPr="005B390C">
              <w:rPr>
                <w:sz w:val="24"/>
                <w:szCs w:val="24"/>
              </w:rPr>
              <w:t>-4.5</w:t>
            </w:r>
          </w:p>
        </w:tc>
      </w:tr>
      <w:tr w:rsidR="005B390C" w:rsidRPr="005B390C" w:rsidTr="005B390C">
        <w:tc>
          <w:tcPr>
            <w:tcW w:w="2093" w:type="dxa"/>
          </w:tcPr>
          <w:p w:rsidR="005B390C" w:rsidRPr="005B390C" w:rsidRDefault="005B390C" w:rsidP="00BB0211">
            <w:pPr>
              <w:rPr>
                <w:sz w:val="24"/>
                <w:szCs w:val="24"/>
              </w:rPr>
            </w:pPr>
            <w:r w:rsidRPr="005B390C">
              <w:rPr>
                <w:sz w:val="24"/>
                <w:szCs w:val="24"/>
              </w:rPr>
              <w:t>APS Maths</w:t>
            </w:r>
          </w:p>
        </w:tc>
        <w:tc>
          <w:tcPr>
            <w:tcW w:w="1111" w:type="dxa"/>
          </w:tcPr>
          <w:p w:rsidR="005B390C" w:rsidRPr="005B390C" w:rsidRDefault="005B390C" w:rsidP="00BB0211">
            <w:pPr>
              <w:jc w:val="center"/>
              <w:rPr>
                <w:sz w:val="24"/>
                <w:szCs w:val="24"/>
              </w:rPr>
            </w:pPr>
            <w:r w:rsidRPr="005B390C">
              <w:rPr>
                <w:sz w:val="24"/>
                <w:szCs w:val="24"/>
              </w:rPr>
              <w:t>40.9</w:t>
            </w:r>
          </w:p>
        </w:tc>
        <w:tc>
          <w:tcPr>
            <w:tcW w:w="1837" w:type="dxa"/>
          </w:tcPr>
          <w:p w:rsidR="005B390C" w:rsidRPr="005B390C" w:rsidRDefault="005B390C" w:rsidP="00BB0211">
            <w:pPr>
              <w:jc w:val="center"/>
              <w:rPr>
                <w:sz w:val="24"/>
                <w:szCs w:val="24"/>
              </w:rPr>
            </w:pPr>
            <w:r w:rsidRPr="005B390C">
              <w:rPr>
                <w:sz w:val="24"/>
                <w:szCs w:val="24"/>
              </w:rPr>
              <w:t>39.5</w:t>
            </w:r>
          </w:p>
        </w:tc>
        <w:tc>
          <w:tcPr>
            <w:tcW w:w="2297" w:type="dxa"/>
          </w:tcPr>
          <w:p w:rsidR="005B390C" w:rsidRPr="005B390C" w:rsidRDefault="005B390C" w:rsidP="00BB0211">
            <w:pPr>
              <w:jc w:val="center"/>
              <w:rPr>
                <w:sz w:val="24"/>
                <w:szCs w:val="24"/>
              </w:rPr>
            </w:pPr>
            <w:r w:rsidRPr="005B390C">
              <w:rPr>
                <w:sz w:val="24"/>
                <w:szCs w:val="24"/>
              </w:rPr>
              <w:t>41.5</w:t>
            </w:r>
          </w:p>
        </w:tc>
        <w:tc>
          <w:tcPr>
            <w:tcW w:w="952" w:type="dxa"/>
            <w:shd w:val="clear" w:color="auto" w:fill="92D050"/>
          </w:tcPr>
          <w:p w:rsidR="005B390C" w:rsidRPr="005B390C" w:rsidRDefault="005B390C" w:rsidP="00BB0211">
            <w:pPr>
              <w:jc w:val="center"/>
              <w:rPr>
                <w:sz w:val="24"/>
                <w:szCs w:val="24"/>
              </w:rPr>
            </w:pPr>
            <w:r w:rsidRPr="005B390C">
              <w:rPr>
                <w:sz w:val="24"/>
                <w:szCs w:val="24"/>
              </w:rPr>
              <w:t>-2.0</w:t>
            </w:r>
          </w:p>
        </w:tc>
        <w:tc>
          <w:tcPr>
            <w:tcW w:w="952" w:type="dxa"/>
          </w:tcPr>
          <w:p w:rsidR="005B390C" w:rsidRPr="005B390C" w:rsidRDefault="005B390C" w:rsidP="00BB0211">
            <w:pPr>
              <w:jc w:val="center"/>
              <w:rPr>
                <w:sz w:val="24"/>
                <w:szCs w:val="24"/>
              </w:rPr>
            </w:pPr>
            <w:r w:rsidRPr="005B390C">
              <w:rPr>
                <w:sz w:val="24"/>
                <w:szCs w:val="24"/>
              </w:rPr>
              <w:t>-5.5</w:t>
            </w:r>
          </w:p>
        </w:tc>
      </w:tr>
      <w:tr w:rsidR="005B390C" w:rsidRPr="005B390C" w:rsidTr="005B390C">
        <w:tc>
          <w:tcPr>
            <w:tcW w:w="2093" w:type="dxa"/>
          </w:tcPr>
          <w:p w:rsidR="005B390C" w:rsidRPr="005B390C" w:rsidRDefault="005B390C" w:rsidP="00BB0211">
            <w:pPr>
              <w:rPr>
                <w:sz w:val="24"/>
                <w:szCs w:val="24"/>
              </w:rPr>
            </w:pPr>
            <w:r w:rsidRPr="005B390C">
              <w:rPr>
                <w:sz w:val="24"/>
                <w:szCs w:val="24"/>
              </w:rPr>
              <w:lastRenderedPageBreak/>
              <w:t>% achieving EBacc</w:t>
            </w:r>
          </w:p>
        </w:tc>
        <w:tc>
          <w:tcPr>
            <w:tcW w:w="1111" w:type="dxa"/>
          </w:tcPr>
          <w:p w:rsidR="005B390C" w:rsidRPr="005B390C" w:rsidRDefault="005B390C" w:rsidP="00BB0211">
            <w:pPr>
              <w:jc w:val="center"/>
              <w:rPr>
                <w:sz w:val="24"/>
                <w:szCs w:val="24"/>
              </w:rPr>
            </w:pPr>
            <w:r w:rsidRPr="005B390C">
              <w:rPr>
                <w:sz w:val="24"/>
                <w:szCs w:val="24"/>
              </w:rPr>
              <w:t>40.3</w:t>
            </w:r>
          </w:p>
        </w:tc>
        <w:tc>
          <w:tcPr>
            <w:tcW w:w="1837" w:type="dxa"/>
          </w:tcPr>
          <w:p w:rsidR="005B390C" w:rsidRPr="005B390C" w:rsidRDefault="005B390C" w:rsidP="00BB0211">
            <w:pPr>
              <w:jc w:val="center"/>
              <w:rPr>
                <w:sz w:val="24"/>
                <w:szCs w:val="24"/>
              </w:rPr>
            </w:pPr>
            <w:r w:rsidRPr="005B390C">
              <w:rPr>
                <w:sz w:val="24"/>
                <w:szCs w:val="24"/>
              </w:rPr>
              <w:t>20.0</w:t>
            </w:r>
          </w:p>
        </w:tc>
        <w:tc>
          <w:tcPr>
            <w:tcW w:w="2297" w:type="dxa"/>
          </w:tcPr>
          <w:p w:rsidR="005B390C" w:rsidRPr="005B390C" w:rsidRDefault="005B390C" w:rsidP="00BB0211">
            <w:pPr>
              <w:jc w:val="center"/>
              <w:rPr>
                <w:sz w:val="24"/>
                <w:szCs w:val="24"/>
              </w:rPr>
            </w:pPr>
            <w:r w:rsidRPr="005B390C">
              <w:rPr>
                <w:sz w:val="24"/>
                <w:szCs w:val="24"/>
              </w:rPr>
              <w:t>47.3</w:t>
            </w:r>
          </w:p>
        </w:tc>
        <w:tc>
          <w:tcPr>
            <w:tcW w:w="952" w:type="dxa"/>
            <w:shd w:val="clear" w:color="auto" w:fill="92D050"/>
          </w:tcPr>
          <w:p w:rsidR="005B390C" w:rsidRPr="005B390C" w:rsidRDefault="005B390C" w:rsidP="00BB0211">
            <w:pPr>
              <w:jc w:val="center"/>
              <w:rPr>
                <w:sz w:val="24"/>
                <w:szCs w:val="24"/>
              </w:rPr>
            </w:pPr>
            <w:r w:rsidRPr="005B390C">
              <w:rPr>
                <w:sz w:val="24"/>
                <w:szCs w:val="24"/>
              </w:rPr>
              <w:t>-27.3</w:t>
            </w:r>
          </w:p>
        </w:tc>
        <w:tc>
          <w:tcPr>
            <w:tcW w:w="952" w:type="dxa"/>
          </w:tcPr>
          <w:p w:rsidR="005B390C" w:rsidRPr="005B390C" w:rsidRDefault="005B390C" w:rsidP="00BB0211">
            <w:pPr>
              <w:jc w:val="center"/>
              <w:rPr>
                <w:sz w:val="24"/>
                <w:szCs w:val="24"/>
              </w:rPr>
            </w:pPr>
            <w:r w:rsidRPr="005B390C">
              <w:rPr>
                <w:sz w:val="24"/>
                <w:szCs w:val="24"/>
              </w:rPr>
              <w:t>-28.5</w:t>
            </w:r>
          </w:p>
        </w:tc>
      </w:tr>
    </w:tbl>
    <w:p w:rsidR="005B390C" w:rsidRPr="005B390C" w:rsidRDefault="005B390C" w:rsidP="005B390C">
      <w:pPr>
        <w:rPr>
          <w:sz w:val="24"/>
          <w:szCs w:val="24"/>
        </w:rPr>
      </w:pPr>
    </w:p>
    <w:p w:rsidR="005B390C" w:rsidRPr="005B390C" w:rsidRDefault="005B390C" w:rsidP="005B390C">
      <w:pPr>
        <w:rPr>
          <w:sz w:val="24"/>
          <w:szCs w:val="24"/>
        </w:rPr>
      </w:pPr>
    </w:p>
    <w:tbl>
      <w:tblPr>
        <w:tblStyle w:val="TableGrid"/>
        <w:tblW w:w="0" w:type="auto"/>
        <w:tblLook w:val="04A0"/>
      </w:tblPr>
      <w:tblGrid>
        <w:gridCol w:w="2093"/>
        <w:gridCol w:w="1134"/>
        <w:gridCol w:w="1843"/>
        <w:gridCol w:w="2268"/>
        <w:gridCol w:w="952"/>
        <w:gridCol w:w="952"/>
      </w:tblGrid>
      <w:tr w:rsidR="005B390C" w:rsidRPr="005B390C" w:rsidTr="005B390C">
        <w:tc>
          <w:tcPr>
            <w:tcW w:w="2093" w:type="dxa"/>
          </w:tcPr>
          <w:p w:rsidR="005B390C" w:rsidRPr="005B390C" w:rsidRDefault="005B390C" w:rsidP="00BB0211">
            <w:pPr>
              <w:rPr>
                <w:sz w:val="24"/>
                <w:szCs w:val="24"/>
              </w:rPr>
            </w:pPr>
            <w:r w:rsidRPr="005B390C">
              <w:rPr>
                <w:sz w:val="24"/>
                <w:szCs w:val="24"/>
              </w:rPr>
              <w:t>Progress</w:t>
            </w:r>
          </w:p>
        </w:tc>
        <w:tc>
          <w:tcPr>
            <w:tcW w:w="1134" w:type="dxa"/>
          </w:tcPr>
          <w:p w:rsidR="005B390C" w:rsidRPr="005B390C" w:rsidRDefault="005B390C" w:rsidP="00BB0211">
            <w:pPr>
              <w:jc w:val="center"/>
              <w:rPr>
                <w:sz w:val="24"/>
                <w:szCs w:val="24"/>
              </w:rPr>
            </w:pPr>
            <w:r w:rsidRPr="005B390C">
              <w:rPr>
                <w:sz w:val="24"/>
                <w:szCs w:val="24"/>
              </w:rPr>
              <w:t>All Pupils</w:t>
            </w:r>
          </w:p>
        </w:tc>
        <w:tc>
          <w:tcPr>
            <w:tcW w:w="1843" w:type="dxa"/>
          </w:tcPr>
          <w:p w:rsidR="005B390C" w:rsidRPr="005B390C" w:rsidRDefault="005B390C" w:rsidP="00BB0211">
            <w:pPr>
              <w:jc w:val="center"/>
              <w:rPr>
                <w:sz w:val="24"/>
                <w:szCs w:val="24"/>
              </w:rPr>
            </w:pPr>
            <w:r w:rsidRPr="005B390C">
              <w:rPr>
                <w:sz w:val="24"/>
                <w:szCs w:val="24"/>
              </w:rPr>
              <w:t>Pupil Premium</w:t>
            </w:r>
          </w:p>
        </w:tc>
        <w:tc>
          <w:tcPr>
            <w:tcW w:w="2268" w:type="dxa"/>
          </w:tcPr>
          <w:p w:rsidR="005B390C" w:rsidRPr="005B390C" w:rsidRDefault="005B390C" w:rsidP="00BB0211">
            <w:pPr>
              <w:jc w:val="center"/>
              <w:rPr>
                <w:sz w:val="24"/>
                <w:szCs w:val="24"/>
              </w:rPr>
            </w:pPr>
            <w:r w:rsidRPr="005B390C">
              <w:rPr>
                <w:sz w:val="24"/>
                <w:szCs w:val="24"/>
              </w:rPr>
              <w:t>Non Pupil Premium</w:t>
            </w:r>
          </w:p>
        </w:tc>
        <w:tc>
          <w:tcPr>
            <w:tcW w:w="952" w:type="dxa"/>
          </w:tcPr>
          <w:p w:rsidR="005B390C" w:rsidRDefault="005B390C" w:rsidP="00BB0211">
            <w:pPr>
              <w:jc w:val="center"/>
              <w:rPr>
                <w:sz w:val="24"/>
                <w:szCs w:val="24"/>
              </w:rPr>
            </w:pPr>
            <w:r w:rsidRPr="005B390C">
              <w:rPr>
                <w:sz w:val="24"/>
                <w:szCs w:val="24"/>
              </w:rPr>
              <w:t xml:space="preserve">Gap </w:t>
            </w:r>
          </w:p>
          <w:p w:rsidR="005B390C" w:rsidRPr="005B390C" w:rsidRDefault="005B390C" w:rsidP="00BB0211">
            <w:pPr>
              <w:jc w:val="center"/>
              <w:rPr>
                <w:sz w:val="24"/>
                <w:szCs w:val="24"/>
              </w:rPr>
            </w:pPr>
            <w:r w:rsidRPr="005B390C">
              <w:rPr>
                <w:sz w:val="24"/>
                <w:szCs w:val="24"/>
              </w:rPr>
              <w:t>2014</w:t>
            </w:r>
          </w:p>
        </w:tc>
        <w:tc>
          <w:tcPr>
            <w:tcW w:w="952" w:type="dxa"/>
          </w:tcPr>
          <w:p w:rsidR="005B390C" w:rsidRDefault="005B390C" w:rsidP="00BB0211">
            <w:pPr>
              <w:jc w:val="center"/>
              <w:rPr>
                <w:sz w:val="24"/>
                <w:szCs w:val="24"/>
              </w:rPr>
            </w:pPr>
            <w:r w:rsidRPr="005B390C">
              <w:rPr>
                <w:sz w:val="24"/>
                <w:szCs w:val="24"/>
              </w:rPr>
              <w:t xml:space="preserve">Gap </w:t>
            </w:r>
          </w:p>
          <w:p w:rsidR="005B390C" w:rsidRPr="005B390C" w:rsidRDefault="005B390C" w:rsidP="00BB0211">
            <w:pPr>
              <w:jc w:val="center"/>
              <w:rPr>
                <w:sz w:val="24"/>
                <w:szCs w:val="24"/>
              </w:rPr>
            </w:pPr>
            <w:r w:rsidRPr="005B390C">
              <w:rPr>
                <w:sz w:val="24"/>
                <w:szCs w:val="24"/>
              </w:rPr>
              <w:t>2013</w:t>
            </w:r>
          </w:p>
        </w:tc>
      </w:tr>
      <w:tr w:rsidR="005B390C" w:rsidRPr="005B390C" w:rsidTr="005B390C">
        <w:tc>
          <w:tcPr>
            <w:tcW w:w="2093" w:type="dxa"/>
          </w:tcPr>
          <w:p w:rsidR="005B390C" w:rsidRPr="005B390C" w:rsidRDefault="005B390C" w:rsidP="00BB0211">
            <w:pPr>
              <w:rPr>
                <w:sz w:val="24"/>
                <w:szCs w:val="24"/>
              </w:rPr>
            </w:pPr>
            <w:r w:rsidRPr="005B390C">
              <w:rPr>
                <w:sz w:val="24"/>
                <w:szCs w:val="24"/>
              </w:rPr>
              <w:t>% 3+ levels English</w:t>
            </w:r>
          </w:p>
        </w:tc>
        <w:tc>
          <w:tcPr>
            <w:tcW w:w="1134" w:type="dxa"/>
          </w:tcPr>
          <w:p w:rsidR="005B390C" w:rsidRPr="005B390C" w:rsidRDefault="005B390C" w:rsidP="00BB0211">
            <w:pPr>
              <w:jc w:val="center"/>
              <w:rPr>
                <w:sz w:val="24"/>
                <w:szCs w:val="24"/>
              </w:rPr>
            </w:pPr>
            <w:r w:rsidRPr="005B390C">
              <w:rPr>
                <w:sz w:val="24"/>
                <w:szCs w:val="24"/>
              </w:rPr>
              <w:t>91</w:t>
            </w:r>
          </w:p>
        </w:tc>
        <w:tc>
          <w:tcPr>
            <w:tcW w:w="1843" w:type="dxa"/>
          </w:tcPr>
          <w:p w:rsidR="005B390C" w:rsidRPr="005B390C" w:rsidRDefault="005B390C" w:rsidP="00BB0211">
            <w:pPr>
              <w:jc w:val="center"/>
              <w:rPr>
                <w:sz w:val="24"/>
                <w:szCs w:val="24"/>
              </w:rPr>
            </w:pPr>
            <w:r w:rsidRPr="005B390C">
              <w:rPr>
                <w:sz w:val="24"/>
                <w:szCs w:val="24"/>
              </w:rPr>
              <w:t>90.9</w:t>
            </w:r>
          </w:p>
        </w:tc>
        <w:tc>
          <w:tcPr>
            <w:tcW w:w="2268" w:type="dxa"/>
          </w:tcPr>
          <w:p w:rsidR="005B390C" w:rsidRPr="005B390C" w:rsidRDefault="005B390C" w:rsidP="00BB0211">
            <w:pPr>
              <w:jc w:val="center"/>
              <w:rPr>
                <w:sz w:val="24"/>
                <w:szCs w:val="24"/>
              </w:rPr>
            </w:pPr>
            <w:r w:rsidRPr="005B390C">
              <w:rPr>
                <w:sz w:val="24"/>
                <w:szCs w:val="24"/>
              </w:rPr>
              <w:t>91.4</w:t>
            </w:r>
          </w:p>
        </w:tc>
        <w:tc>
          <w:tcPr>
            <w:tcW w:w="952" w:type="dxa"/>
            <w:shd w:val="clear" w:color="auto" w:fill="92D050"/>
          </w:tcPr>
          <w:p w:rsidR="005B390C" w:rsidRPr="005B390C" w:rsidRDefault="005B390C" w:rsidP="00BB0211">
            <w:pPr>
              <w:jc w:val="center"/>
              <w:rPr>
                <w:sz w:val="24"/>
                <w:szCs w:val="24"/>
              </w:rPr>
            </w:pPr>
            <w:r w:rsidRPr="005B390C">
              <w:rPr>
                <w:sz w:val="24"/>
                <w:szCs w:val="24"/>
              </w:rPr>
              <w:t>-0.5</w:t>
            </w:r>
          </w:p>
        </w:tc>
        <w:tc>
          <w:tcPr>
            <w:tcW w:w="952" w:type="dxa"/>
          </w:tcPr>
          <w:p w:rsidR="005B390C" w:rsidRPr="005B390C" w:rsidRDefault="005B390C" w:rsidP="00BB0211">
            <w:pPr>
              <w:jc w:val="center"/>
              <w:rPr>
                <w:sz w:val="24"/>
                <w:szCs w:val="24"/>
              </w:rPr>
            </w:pPr>
            <w:r w:rsidRPr="005B390C">
              <w:rPr>
                <w:sz w:val="24"/>
                <w:szCs w:val="24"/>
              </w:rPr>
              <w:t>-7</w:t>
            </w:r>
          </w:p>
        </w:tc>
      </w:tr>
      <w:tr w:rsidR="005B390C" w:rsidRPr="005B390C" w:rsidTr="005B390C">
        <w:tc>
          <w:tcPr>
            <w:tcW w:w="2093" w:type="dxa"/>
          </w:tcPr>
          <w:p w:rsidR="005B390C" w:rsidRPr="005B390C" w:rsidRDefault="005B390C" w:rsidP="00BB0211">
            <w:pPr>
              <w:rPr>
                <w:sz w:val="24"/>
                <w:szCs w:val="24"/>
              </w:rPr>
            </w:pPr>
            <w:r w:rsidRPr="005B390C">
              <w:rPr>
                <w:sz w:val="24"/>
                <w:szCs w:val="24"/>
              </w:rPr>
              <w:t>% 4+ levels English</w:t>
            </w:r>
          </w:p>
        </w:tc>
        <w:tc>
          <w:tcPr>
            <w:tcW w:w="1134" w:type="dxa"/>
          </w:tcPr>
          <w:p w:rsidR="005B390C" w:rsidRPr="005B390C" w:rsidRDefault="005B390C" w:rsidP="00BB0211">
            <w:pPr>
              <w:jc w:val="center"/>
              <w:rPr>
                <w:sz w:val="24"/>
                <w:szCs w:val="24"/>
              </w:rPr>
            </w:pPr>
            <w:r w:rsidRPr="005B390C">
              <w:rPr>
                <w:sz w:val="24"/>
                <w:szCs w:val="24"/>
              </w:rPr>
              <w:t>45</w:t>
            </w:r>
          </w:p>
        </w:tc>
        <w:tc>
          <w:tcPr>
            <w:tcW w:w="1843" w:type="dxa"/>
          </w:tcPr>
          <w:p w:rsidR="005B390C" w:rsidRPr="005B390C" w:rsidRDefault="005B390C" w:rsidP="00BB0211">
            <w:pPr>
              <w:jc w:val="center"/>
              <w:rPr>
                <w:sz w:val="24"/>
                <w:szCs w:val="24"/>
              </w:rPr>
            </w:pPr>
            <w:r w:rsidRPr="005B390C">
              <w:rPr>
                <w:sz w:val="24"/>
                <w:szCs w:val="24"/>
              </w:rPr>
              <w:t>34</w:t>
            </w:r>
          </w:p>
        </w:tc>
        <w:tc>
          <w:tcPr>
            <w:tcW w:w="2268" w:type="dxa"/>
          </w:tcPr>
          <w:p w:rsidR="005B390C" w:rsidRPr="005B390C" w:rsidRDefault="005B390C" w:rsidP="00BB0211">
            <w:pPr>
              <w:jc w:val="center"/>
              <w:rPr>
                <w:sz w:val="24"/>
                <w:szCs w:val="24"/>
              </w:rPr>
            </w:pPr>
            <w:r w:rsidRPr="005B390C">
              <w:rPr>
                <w:sz w:val="24"/>
                <w:szCs w:val="24"/>
              </w:rPr>
              <w:t>49</w:t>
            </w:r>
          </w:p>
        </w:tc>
        <w:tc>
          <w:tcPr>
            <w:tcW w:w="952" w:type="dxa"/>
          </w:tcPr>
          <w:p w:rsidR="005B390C" w:rsidRPr="005B390C" w:rsidRDefault="005B390C" w:rsidP="00BB0211">
            <w:pPr>
              <w:jc w:val="center"/>
              <w:rPr>
                <w:sz w:val="24"/>
                <w:szCs w:val="24"/>
              </w:rPr>
            </w:pPr>
            <w:r w:rsidRPr="005B390C">
              <w:rPr>
                <w:sz w:val="24"/>
                <w:szCs w:val="24"/>
              </w:rPr>
              <w:t>-15</w:t>
            </w:r>
          </w:p>
        </w:tc>
        <w:tc>
          <w:tcPr>
            <w:tcW w:w="952" w:type="dxa"/>
          </w:tcPr>
          <w:p w:rsidR="005B390C" w:rsidRPr="005B390C" w:rsidRDefault="005B390C" w:rsidP="00BB0211">
            <w:pPr>
              <w:jc w:val="center"/>
              <w:rPr>
                <w:sz w:val="24"/>
                <w:szCs w:val="24"/>
              </w:rPr>
            </w:pPr>
            <w:r w:rsidRPr="005B390C">
              <w:rPr>
                <w:sz w:val="24"/>
                <w:szCs w:val="24"/>
              </w:rPr>
              <w:t>-15</w:t>
            </w:r>
          </w:p>
        </w:tc>
      </w:tr>
      <w:tr w:rsidR="005B390C" w:rsidRPr="005B390C" w:rsidTr="005B390C">
        <w:tc>
          <w:tcPr>
            <w:tcW w:w="2093" w:type="dxa"/>
          </w:tcPr>
          <w:p w:rsidR="005B390C" w:rsidRPr="005B390C" w:rsidRDefault="005B390C" w:rsidP="00BB0211">
            <w:pPr>
              <w:rPr>
                <w:sz w:val="24"/>
                <w:szCs w:val="24"/>
              </w:rPr>
            </w:pPr>
            <w:r w:rsidRPr="005B390C">
              <w:rPr>
                <w:sz w:val="24"/>
                <w:szCs w:val="24"/>
              </w:rPr>
              <w:t>% 3+ levels English</w:t>
            </w:r>
          </w:p>
        </w:tc>
        <w:tc>
          <w:tcPr>
            <w:tcW w:w="1134" w:type="dxa"/>
          </w:tcPr>
          <w:p w:rsidR="005B390C" w:rsidRPr="005B390C" w:rsidRDefault="005B390C" w:rsidP="00BB0211">
            <w:pPr>
              <w:jc w:val="center"/>
              <w:rPr>
                <w:sz w:val="24"/>
                <w:szCs w:val="24"/>
              </w:rPr>
            </w:pPr>
            <w:r w:rsidRPr="005B390C">
              <w:rPr>
                <w:sz w:val="24"/>
                <w:szCs w:val="24"/>
              </w:rPr>
              <w:t>75</w:t>
            </w:r>
          </w:p>
        </w:tc>
        <w:tc>
          <w:tcPr>
            <w:tcW w:w="1843" w:type="dxa"/>
          </w:tcPr>
          <w:p w:rsidR="005B390C" w:rsidRPr="005B390C" w:rsidRDefault="005B390C" w:rsidP="00BB0211">
            <w:pPr>
              <w:jc w:val="center"/>
              <w:rPr>
                <w:sz w:val="24"/>
                <w:szCs w:val="24"/>
              </w:rPr>
            </w:pPr>
            <w:r w:rsidRPr="005B390C">
              <w:rPr>
                <w:sz w:val="24"/>
                <w:szCs w:val="24"/>
              </w:rPr>
              <w:t>72.1</w:t>
            </w:r>
          </w:p>
        </w:tc>
        <w:tc>
          <w:tcPr>
            <w:tcW w:w="2268" w:type="dxa"/>
          </w:tcPr>
          <w:p w:rsidR="005B390C" w:rsidRPr="005B390C" w:rsidRDefault="005B390C" w:rsidP="00BB0211">
            <w:pPr>
              <w:jc w:val="center"/>
              <w:rPr>
                <w:sz w:val="24"/>
                <w:szCs w:val="24"/>
              </w:rPr>
            </w:pPr>
            <w:r w:rsidRPr="005B390C">
              <w:rPr>
                <w:sz w:val="24"/>
                <w:szCs w:val="24"/>
              </w:rPr>
              <w:t>76.6</w:t>
            </w:r>
          </w:p>
        </w:tc>
        <w:tc>
          <w:tcPr>
            <w:tcW w:w="952" w:type="dxa"/>
            <w:shd w:val="clear" w:color="auto" w:fill="92D050"/>
          </w:tcPr>
          <w:p w:rsidR="005B390C" w:rsidRPr="005B390C" w:rsidRDefault="005B390C" w:rsidP="00BB0211">
            <w:pPr>
              <w:jc w:val="center"/>
              <w:rPr>
                <w:sz w:val="24"/>
                <w:szCs w:val="24"/>
              </w:rPr>
            </w:pPr>
            <w:r w:rsidRPr="005B390C">
              <w:rPr>
                <w:sz w:val="24"/>
                <w:szCs w:val="24"/>
              </w:rPr>
              <w:t>-4.5</w:t>
            </w:r>
          </w:p>
        </w:tc>
        <w:tc>
          <w:tcPr>
            <w:tcW w:w="952" w:type="dxa"/>
          </w:tcPr>
          <w:p w:rsidR="005B390C" w:rsidRPr="005B390C" w:rsidRDefault="005B390C" w:rsidP="00BB0211">
            <w:pPr>
              <w:jc w:val="center"/>
              <w:rPr>
                <w:sz w:val="24"/>
                <w:szCs w:val="24"/>
              </w:rPr>
            </w:pPr>
            <w:r w:rsidRPr="005B390C">
              <w:rPr>
                <w:sz w:val="24"/>
                <w:szCs w:val="24"/>
              </w:rPr>
              <w:t>-14</w:t>
            </w:r>
          </w:p>
        </w:tc>
      </w:tr>
      <w:tr w:rsidR="005B390C" w:rsidRPr="005B390C" w:rsidTr="005B390C">
        <w:tc>
          <w:tcPr>
            <w:tcW w:w="2093" w:type="dxa"/>
          </w:tcPr>
          <w:p w:rsidR="005B390C" w:rsidRPr="005B390C" w:rsidRDefault="005B390C" w:rsidP="00BB0211">
            <w:pPr>
              <w:rPr>
                <w:sz w:val="24"/>
                <w:szCs w:val="24"/>
              </w:rPr>
            </w:pPr>
            <w:r w:rsidRPr="005B390C">
              <w:rPr>
                <w:sz w:val="24"/>
                <w:szCs w:val="24"/>
              </w:rPr>
              <w:t>% 4+ levels English</w:t>
            </w:r>
          </w:p>
        </w:tc>
        <w:tc>
          <w:tcPr>
            <w:tcW w:w="1134" w:type="dxa"/>
          </w:tcPr>
          <w:p w:rsidR="005B390C" w:rsidRPr="005B390C" w:rsidRDefault="005B390C" w:rsidP="00BB0211">
            <w:pPr>
              <w:jc w:val="center"/>
              <w:rPr>
                <w:sz w:val="24"/>
                <w:szCs w:val="24"/>
              </w:rPr>
            </w:pPr>
            <w:r w:rsidRPr="005B390C">
              <w:rPr>
                <w:sz w:val="24"/>
                <w:szCs w:val="24"/>
              </w:rPr>
              <w:t>28</w:t>
            </w:r>
          </w:p>
        </w:tc>
        <w:tc>
          <w:tcPr>
            <w:tcW w:w="1843" w:type="dxa"/>
          </w:tcPr>
          <w:p w:rsidR="005B390C" w:rsidRPr="005B390C" w:rsidRDefault="005B390C" w:rsidP="00BB0211">
            <w:pPr>
              <w:jc w:val="center"/>
              <w:rPr>
                <w:sz w:val="24"/>
                <w:szCs w:val="24"/>
              </w:rPr>
            </w:pPr>
            <w:r w:rsidRPr="005B390C">
              <w:rPr>
                <w:sz w:val="24"/>
                <w:szCs w:val="24"/>
              </w:rPr>
              <w:t>21</w:t>
            </w:r>
          </w:p>
        </w:tc>
        <w:tc>
          <w:tcPr>
            <w:tcW w:w="2268" w:type="dxa"/>
          </w:tcPr>
          <w:p w:rsidR="005B390C" w:rsidRPr="005B390C" w:rsidRDefault="005B390C" w:rsidP="00BB0211">
            <w:pPr>
              <w:jc w:val="center"/>
              <w:rPr>
                <w:sz w:val="24"/>
                <w:szCs w:val="24"/>
              </w:rPr>
            </w:pPr>
            <w:r w:rsidRPr="005B390C">
              <w:rPr>
                <w:sz w:val="24"/>
                <w:szCs w:val="24"/>
              </w:rPr>
              <w:t>30</w:t>
            </w:r>
          </w:p>
        </w:tc>
        <w:tc>
          <w:tcPr>
            <w:tcW w:w="952" w:type="dxa"/>
            <w:shd w:val="clear" w:color="auto" w:fill="92D050"/>
          </w:tcPr>
          <w:p w:rsidR="005B390C" w:rsidRPr="005B390C" w:rsidRDefault="005B390C" w:rsidP="00BB0211">
            <w:pPr>
              <w:jc w:val="center"/>
              <w:rPr>
                <w:sz w:val="24"/>
                <w:szCs w:val="24"/>
              </w:rPr>
            </w:pPr>
            <w:r w:rsidRPr="005B390C">
              <w:rPr>
                <w:sz w:val="24"/>
                <w:szCs w:val="24"/>
              </w:rPr>
              <w:t>-9</w:t>
            </w:r>
          </w:p>
        </w:tc>
        <w:tc>
          <w:tcPr>
            <w:tcW w:w="952" w:type="dxa"/>
          </w:tcPr>
          <w:p w:rsidR="005B390C" w:rsidRPr="005B390C" w:rsidRDefault="005B390C" w:rsidP="00BB0211">
            <w:pPr>
              <w:jc w:val="center"/>
              <w:rPr>
                <w:sz w:val="24"/>
                <w:szCs w:val="24"/>
              </w:rPr>
            </w:pPr>
            <w:r w:rsidRPr="005B390C">
              <w:rPr>
                <w:sz w:val="24"/>
                <w:szCs w:val="24"/>
              </w:rPr>
              <w:t>-29</w:t>
            </w:r>
          </w:p>
        </w:tc>
      </w:tr>
    </w:tbl>
    <w:p w:rsidR="005B390C" w:rsidRPr="005B390C" w:rsidRDefault="005B390C" w:rsidP="005B390C">
      <w:pPr>
        <w:rPr>
          <w:sz w:val="24"/>
          <w:szCs w:val="24"/>
        </w:rPr>
      </w:pPr>
    </w:p>
    <w:p w:rsidR="004C0F81" w:rsidRDefault="004C0F81">
      <w:pPr>
        <w:rPr>
          <w:rFonts w:cs="Arial"/>
          <w:sz w:val="24"/>
          <w:szCs w:val="24"/>
        </w:rPr>
      </w:pPr>
      <w:r>
        <w:rPr>
          <w:rFonts w:cs="Arial"/>
          <w:sz w:val="24"/>
          <w:szCs w:val="24"/>
        </w:rPr>
        <w:br w:type="page"/>
      </w:r>
    </w:p>
    <w:p w:rsidR="004C0F81" w:rsidRDefault="004C0F81" w:rsidP="005B390C">
      <w:pPr>
        <w:rPr>
          <w:rFonts w:cs="Arial"/>
          <w:sz w:val="24"/>
          <w:szCs w:val="24"/>
        </w:rPr>
        <w:sectPr w:rsidR="004C0F81" w:rsidSect="00903F01">
          <w:pgSz w:w="11906" w:h="16838"/>
          <w:pgMar w:top="1440" w:right="1440" w:bottom="1440" w:left="1440" w:header="708" w:footer="708" w:gutter="0"/>
          <w:cols w:space="708"/>
          <w:docGrid w:linePitch="360"/>
        </w:sectPr>
      </w:pPr>
    </w:p>
    <w:p w:rsidR="004C0F81" w:rsidRPr="009126AD" w:rsidRDefault="00723484" w:rsidP="004C0F81">
      <w:pPr>
        <w:rPr>
          <w:sz w:val="24"/>
          <w:szCs w:val="24"/>
          <w:u w:val="single"/>
        </w:rPr>
      </w:pPr>
      <w:r>
        <w:rPr>
          <w:noProof/>
          <w:sz w:val="24"/>
          <w:szCs w:val="24"/>
          <w:u w:val="single"/>
          <w:lang w:eastAsia="en-GB"/>
        </w:rPr>
        <w:pict>
          <v:shapetype id="_x0000_t202" coordsize="21600,21600" o:spt="202" path="m,l,21600r21600,l21600,xe">
            <v:stroke joinstyle="miter"/>
            <v:path gradientshapeok="t" o:connecttype="rect"/>
          </v:shapetype>
          <v:shape id="_x0000_s1029" type="#_x0000_t202" style="position:absolute;margin-left:445.7pt;margin-top:19.65pt;width:96.4pt;height:23pt;z-index:251671552;mso-width-relative:margin;mso-height-relative:margin">
            <v:textbox style="mso-next-textbox:#_x0000_s1029">
              <w:txbxContent>
                <w:p w:rsidR="00BB0211" w:rsidRDefault="00BB0211" w:rsidP="004C0F81">
                  <w:pPr>
                    <w:jc w:val="center"/>
                  </w:pPr>
                  <w:r>
                    <w:t>Non - FSM (PP)</w:t>
                  </w:r>
                </w:p>
              </w:txbxContent>
            </v:textbox>
          </v:shape>
        </w:pict>
      </w:r>
      <w:r w:rsidRPr="00723484">
        <w:rPr>
          <w:noProof/>
          <w:sz w:val="24"/>
          <w:szCs w:val="24"/>
          <w:u w:val="single"/>
          <w:lang w:val="en-US" w:eastAsia="zh-TW"/>
        </w:rPr>
        <w:pict>
          <v:shape id="_x0000_s1026" type="#_x0000_t202" style="position:absolute;margin-left:87.3pt;margin-top:19.65pt;width:61.4pt;height:23pt;z-index:251668480;mso-width-relative:margin;mso-height-relative:margin">
            <v:textbox style="mso-next-textbox:#_x0000_s1026">
              <w:txbxContent>
                <w:p w:rsidR="00BB0211" w:rsidRDefault="00BB0211" w:rsidP="004C0F81">
                  <w:pPr>
                    <w:jc w:val="center"/>
                  </w:pPr>
                  <w:r>
                    <w:t>FSM (PP)</w:t>
                  </w:r>
                </w:p>
              </w:txbxContent>
            </v:textbox>
          </v:shape>
        </w:pict>
      </w:r>
      <w:r w:rsidR="004C0F81" w:rsidRPr="009126AD">
        <w:rPr>
          <w:noProof/>
          <w:sz w:val="24"/>
          <w:szCs w:val="24"/>
          <w:u w:val="single"/>
          <w:lang w:eastAsia="en-GB"/>
        </w:rPr>
        <w:drawing>
          <wp:anchor distT="0" distB="0" distL="114300" distR="114300" simplePos="0" relativeHeight="251664384" behindDoc="0" locked="0" layoutInCell="1" allowOverlap="1">
            <wp:simplePos x="0" y="0"/>
            <wp:positionH relativeFrom="column">
              <wp:posOffset>4084955</wp:posOffset>
            </wp:positionH>
            <wp:positionV relativeFrom="paragraph">
              <wp:posOffset>177800</wp:posOffset>
            </wp:positionV>
            <wp:extent cx="4548505" cy="1947545"/>
            <wp:effectExtent l="1905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4548505" cy="1947545"/>
                    </a:xfrm>
                    <a:prstGeom prst="rect">
                      <a:avLst/>
                    </a:prstGeom>
                    <a:noFill/>
                    <a:ln w="9525">
                      <a:noFill/>
                      <a:miter lim="800000"/>
                      <a:headEnd/>
                      <a:tailEnd/>
                    </a:ln>
                  </pic:spPr>
                </pic:pic>
              </a:graphicData>
            </a:graphic>
          </wp:anchor>
        </w:drawing>
      </w:r>
      <w:r w:rsidR="004C0F81" w:rsidRPr="009126AD">
        <w:rPr>
          <w:noProof/>
          <w:sz w:val="24"/>
          <w:szCs w:val="24"/>
          <w:u w:val="single"/>
          <w:lang w:eastAsia="en-GB"/>
        </w:rPr>
        <w:drawing>
          <wp:anchor distT="0" distB="0" distL="114300" distR="114300" simplePos="0" relativeHeight="251661312" behindDoc="0" locked="0" layoutInCell="1" allowOverlap="1">
            <wp:simplePos x="0" y="0"/>
            <wp:positionH relativeFrom="column">
              <wp:posOffset>-432212</wp:posOffset>
            </wp:positionH>
            <wp:positionV relativeFrom="paragraph">
              <wp:posOffset>1995055</wp:posOffset>
            </wp:positionV>
            <wp:extent cx="4517324" cy="4085112"/>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t="4444"/>
                    <a:stretch>
                      <a:fillRect/>
                    </a:stretch>
                  </pic:blipFill>
                  <pic:spPr bwMode="auto">
                    <a:xfrm>
                      <a:off x="0" y="0"/>
                      <a:ext cx="4517324" cy="4085112"/>
                    </a:xfrm>
                    <a:prstGeom prst="rect">
                      <a:avLst/>
                    </a:prstGeom>
                    <a:noFill/>
                    <a:ln w="9525">
                      <a:noFill/>
                      <a:miter lim="800000"/>
                      <a:headEnd/>
                      <a:tailEnd/>
                    </a:ln>
                  </pic:spPr>
                </pic:pic>
              </a:graphicData>
            </a:graphic>
          </wp:anchor>
        </w:drawing>
      </w:r>
      <w:r w:rsidR="004C0F81" w:rsidRPr="009126AD">
        <w:rPr>
          <w:noProof/>
          <w:sz w:val="24"/>
          <w:szCs w:val="24"/>
          <w:u w:val="single"/>
          <w:lang w:eastAsia="en-GB"/>
        </w:rPr>
        <w:drawing>
          <wp:anchor distT="0" distB="0" distL="114300" distR="114300" simplePos="0" relativeHeight="251660288" behindDoc="0" locked="0" layoutInCell="1" allowOverlap="1">
            <wp:simplePos x="0" y="0"/>
            <wp:positionH relativeFrom="column">
              <wp:posOffset>-432435</wp:posOffset>
            </wp:positionH>
            <wp:positionV relativeFrom="paragraph">
              <wp:posOffset>177800</wp:posOffset>
            </wp:positionV>
            <wp:extent cx="4516755" cy="446468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16755" cy="4464685"/>
                    </a:xfrm>
                    <a:prstGeom prst="rect">
                      <a:avLst/>
                    </a:prstGeom>
                    <a:noFill/>
                    <a:ln w="9525">
                      <a:noFill/>
                      <a:miter lim="800000"/>
                      <a:headEnd/>
                      <a:tailEnd/>
                    </a:ln>
                  </pic:spPr>
                </pic:pic>
              </a:graphicData>
            </a:graphic>
          </wp:anchor>
        </w:drawing>
      </w:r>
      <w:r w:rsidR="004C0F81" w:rsidRPr="009126AD">
        <w:rPr>
          <w:sz w:val="24"/>
          <w:szCs w:val="24"/>
          <w:u w:val="single"/>
        </w:rPr>
        <w:t>Relative performance: FSM (PP) v Non – FSM (PP)   GCSE 2014</w:t>
      </w: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r>
        <w:rPr>
          <w:noProof/>
          <w:sz w:val="24"/>
          <w:szCs w:val="24"/>
          <w:u w:val="single"/>
          <w:lang w:eastAsia="en-GB"/>
        </w:rPr>
        <w:drawing>
          <wp:anchor distT="0" distB="0" distL="114300" distR="114300" simplePos="0" relativeHeight="251665408" behindDoc="0" locked="0" layoutInCell="1" allowOverlap="1">
            <wp:simplePos x="0" y="0"/>
            <wp:positionH relativeFrom="column">
              <wp:posOffset>4110990</wp:posOffset>
            </wp:positionH>
            <wp:positionV relativeFrom="paragraph">
              <wp:posOffset>289560</wp:posOffset>
            </wp:positionV>
            <wp:extent cx="4516755" cy="404939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4516755" cy="4049395"/>
                    </a:xfrm>
                    <a:prstGeom prst="rect">
                      <a:avLst/>
                    </a:prstGeom>
                    <a:noFill/>
                    <a:ln w="9525">
                      <a:noFill/>
                      <a:miter lim="800000"/>
                      <a:headEnd/>
                      <a:tailEnd/>
                    </a:ln>
                  </pic:spPr>
                </pic:pic>
              </a:graphicData>
            </a:graphic>
          </wp:anchor>
        </w:drawing>
      </w: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Default="004C0F81" w:rsidP="004C0F81">
      <w:pPr>
        <w:rPr>
          <w:sz w:val="24"/>
          <w:szCs w:val="24"/>
          <w:u w:val="single"/>
        </w:rPr>
      </w:pPr>
    </w:p>
    <w:p w:rsidR="004C0F81" w:rsidRPr="009126AD" w:rsidRDefault="00723484" w:rsidP="004C0F81">
      <w:pPr>
        <w:rPr>
          <w:sz w:val="24"/>
          <w:szCs w:val="24"/>
          <w:u w:val="single"/>
        </w:rPr>
      </w:pPr>
      <w:r>
        <w:rPr>
          <w:noProof/>
          <w:sz w:val="24"/>
          <w:szCs w:val="24"/>
          <w:u w:val="single"/>
          <w:lang w:eastAsia="en-GB"/>
        </w:rPr>
        <w:pict>
          <v:shape id="_x0000_s1028" type="#_x0000_t202" style="position:absolute;margin-left:456.15pt;margin-top:-35.55pt;width:96.4pt;height:23pt;z-index:251670528;mso-width-relative:margin;mso-height-relative:margin">
            <v:textbox style="mso-next-textbox:#_x0000_s1028">
              <w:txbxContent>
                <w:p w:rsidR="00BB0211" w:rsidRDefault="00BB0211" w:rsidP="004C0F81">
                  <w:pPr>
                    <w:jc w:val="center"/>
                  </w:pPr>
                  <w:r>
                    <w:t>Non - FSM (PP)</w:t>
                  </w:r>
                </w:p>
              </w:txbxContent>
            </v:textbox>
          </v:shape>
        </w:pict>
      </w:r>
      <w:r>
        <w:rPr>
          <w:noProof/>
          <w:sz w:val="24"/>
          <w:szCs w:val="24"/>
          <w:u w:val="single"/>
          <w:lang w:eastAsia="en-GB"/>
        </w:rPr>
        <w:pict>
          <v:shape id="_x0000_s1027" type="#_x0000_t202" style="position:absolute;margin-left:85.15pt;margin-top:-35.55pt;width:61.4pt;height:23pt;z-index:251669504;mso-width-relative:margin;mso-height-relative:margin">
            <v:textbox style="mso-next-textbox:#_x0000_s1027">
              <w:txbxContent>
                <w:p w:rsidR="00BB0211" w:rsidRDefault="00BB0211" w:rsidP="004C0F81">
                  <w:pPr>
                    <w:jc w:val="center"/>
                  </w:pPr>
                  <w:r>
                    <w:t>FSM (PP)</w:t>
                  </w:r>
                </w:p>
              </w:txbxContent>
            </v:textbox>
          </v:shape>
        </w:pict>
      </w:r>
      <w:r w:rsidR="004C0F81">
        <w:rPr>
          <w:noProof/>
          <w:sz w:val="24"/>
          <w:szCs w:val="24"/>
          <w:u w:val="single"/>
          <w:lang w:eastAsia="en-GB"/>
        </w:rPr>
        <w:drawing>
          <wp:anchor distT="0" distB="0" distL="114300" distR="114300" simplePos="0" relativeHeight="251667456" behindDoc="0" locked="0" layoutInCell="1" allowOverlap="1">
            <wp:simplePos x="0" y="0"/>
            <wp:positionH relativeFrom="column">
              <wp:posOffset>4294167</wp:posOffset>
            </wp:positionH>
            <wp:positionV relativeFrom="paragraph">
              <wp:posOffset>4120738</wp:posOffset>
            </wp:positionV>
            <wp:extent cx="4517324" cy="1923803"/>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b="33333"/>
                    <a:stretch>
                      <a:fillRect/>
                    </a:stretch>
                  </pic:blipFill>
                  <pic:spPr bwMode="auto">
                    <a:xfrm>
                      <a:off x="0" y="0"/>
                      <a:ext cx="4517324" cy="1923803"/>
                    </a:xfrm>
                    <a:prstGeom prst="rect">
                      <a:avLst/>
                    </a:prstGeom>
                    <a:noFill/>
                    <a:ln w="9525">
                      <a:noFill/>
                      <a:miter lim="800000"/>
                      <a:headEnd/>
                      <a:tailEnd/>
                    </a:ln>
                  </pic:spPr>
                </pic:pic>
              </a:graphicData>
            </a:graphic>
          </wp:anchor>
        </w:drawing>
      </w:r>
      <w:r w:rsidR="004C0F81">
        <w:rPr>
          <w:noProof/>
          <w:sz w:val="24"/>
          <w:szCs w:val="24"/>
          <w:u w:val="single"/>
          <w:lang w:eastAsia="en-GB"/>
        </w:rPr>
        <w:drawing>
          <wp:anchor distT="0" distB="0" distL="114300" distR="114300" simplePos="0" relativeHeight="251663360" behindDoc="0" locked="0" layoutInCell="1" allowOverlap="1">
            <wp:simplePos x="0" y="0"/>
            <wp:positionH relativeFrom="column">
              <wp:posOffset>-467838</wp:posOffset>
            </wp:positionH>
            <wp:positionV relativeFrom="paragraph">
              <wp:posOffset>4108863</wp:posOffset>
            </wp:positionV>
            <wp:extent cx="4548505" cy="1923802"/>
            <wp:effectExtent l="1905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b="33042"/>
                    <a:stretch>
                      <a:fillRect/>
                    </a:stretch>
                  </pic:blipFill>
                  <pic:spPr bwMode="auto">
                    <a:xfrm>
                      <a:off x="0" y="0"/>
                      <a:ext cx="4548505" cy="1923802"/>
                    </a:xfrm>
                    <a:prstGeom prst="rect">
                      <a:avLst/>
                    </a:prstGeom>
                    <a:noFill/>
                    <a:ln w="9525">
                      <a:noFill/>
                      <a:miter lim="800000"/>
                      <a:headEnd/>
                      <a:tailEnd/>
                    </a:ln>
                  </pic:spPr>
                </pic:pic>
              </a:graphicData>
            </a:graphic>
          </wp:anchor>
        </w:drawing>
      </w:r>
      <w:r w:rsidR="004C0F81">
        <w:rPr>
          <w:noProof/>
          <w:sz w:val="24"/>
          <w:szCs w:val="24"/>
          <w:u w:val="single"/>
          <w:lang w:eastAsia="en-GB"/>
        </w:rPr>
        <w:drawing>
          <wp:anchor distT="0" distB="0" distL="114300" distR="114300" simplePos="0" relativeHeight="251666432" behindDoc="0" locked="0" layoutInCell="1" allowOverlap="1">
            <wp:simplePos x="0" y="0"/>
            <wp:positionH relativeFrom="column">
              <wp:posOffset>4294166</wp:posOffset>
            </wp:positionH>
            <wp:positionV relativeFrom="paragraph">
              <wp:posOffset>-296883</wp:posOffset>
            </wp:positionV>
            <wp:extent cx="4517324" cy="438199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4517324" cy="4381995"/>
                    </a:xfrm>
                    <a:prstGeom prst="rect">
                      <a:avLst/>
                    </a:prstGeom>
                    <a:noFill/>
                    <a:ln w="9525">
                      <a:noFill/>
                      <a:miter lim="800000"/>
                      <a:headEnd/>
                      <a:tailEnd/>
                    </a:ln>
                  </pic:spPr>
                </pic:pic>
              </a:graphicData>
            </a:graphic>
          </wp:anchor>
        </w:drawing>
      </w:r>
      <w:r w:rsidR="004C0F81">
        <w:rPr>
          <w:noProof/>
          <w:sz w:val="24"/>
          <w:szCs w:val="24"/>
          <w:u w:val="single"/>
          <w:lang w:eastAsia="en-GB"/>
        </w:rPr>
        <w:drawing>
          <wp:anchor distT="0" distB="0" distL="114300" distR="114300" simplePos="0" relativeHeight="251662336" behindDoc="0" locked="0" layoutInCell="1" allowOverlap="1">
            <wp:simplePos x="0" y="0"/>
            <wp:positionH relativeFrom="column">
              <wp:posOffset>-432212</wp:posOffset>
            </wp:positionH>
            <wp:positionV relativeFrom="paragraph">
              <wp:posOffset>-356259</wp:posOffset>
            </wp:positionV>
            <wp:extent cx="4517324" cy="4441372"/>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4517324" cy="4441372"/>
                    </a:xfrm>
                    <a:prstGeom prst="rect">
                      <a:avLst/>
                    </a:prstGeom>
                    <a:noFill/>
                    <a:ln w="9525">
                      <a:noFill/>
                      <a:miter lim="800000"/>
                      <a:headEnd/>
                      <a:tailEnd/>
                    </a:ln>
                  </pic:spPr>
                </pic:pic>
              </a:graphicData>
            </a:graphic>
          </wp:anchor>
        </w:drawing>
      </w:r>
    </w:p>
    <w:p w:rsidR="00C70B6A" w:rsidRDefault="00C70B6A">
      <w:pPr>
        <w:rPr>
          <w:rFonts w:cs="Arial"/>
          <w:sz w:val="24"/>
          <w:szCs w:val="24"/>
        </w:rPr>
        <w:sectPr w:rsidR="00C70B6A" w:rsidSect="00BB0211">
          <w:pgSz w:w="16838" w:h="11906" w:orient="landscape"/>
          <w:pgMar w:top="1440" w:right="1440" w:bottom="1440" w:left="1440" w:header="708" w:footer="708" w:gutter="0"/>
          <w:cols w:space="708"/>
          <w:docGrid w:linePitch="360"/>
        </w:sectPr>
      </w:pPr>
      <w:r>
        <w:rPr>
          <w:rFonts w:cs="Arial"/>
          <w:sz w:val="24"/>
          <w:szCs w:val="24"/>
        </w:rPr>
        <w:br w:type="page"/>
      </w:r>
    </w:p>
    <w:p w:rsidR="00C70B6A" w:rsidRPr="003424E0" w:rsidRDefault="00C70B6A" w:rsidP="00C70B6A">
      <w:pPr>
        <w:rPr>
          <w:rFonts w:cs="Arial"/>
          <w:b/>
          <w:u w:val="single"/>
        </w:rPr>
      </w:pPr>
      <w:r w:rsidRPr="003424E0">
        <w:rPr>
          <w:rFonts w:cs="Arial"/>
          <w:b/>
          <w:u w:val="single"/>
        </w:rPr>
        <w:t>Pupil Premium 2014-15</w:t>
      </w:r>
    </w:p>
    <w:p w:rsidR="00C70B6A" w:rsidRPr="003424E0" w:rsidRDefault="00C70B6A" w:rsidP="00C70B6A">
      <w:pPr>
        <w:rPr>
          <w:rFonts w:cs="Arial"/>
        </w:rPr>
      </w:pPr>
      <w:r>
        <w:rPr>
          <w:rFonts w:cs="Arial"/>
        </w:rPr>
        <w:t>The pupil premium funding for</w:t>
      </w:r>
      <w:r w:rsidRPr="003424E0">
        <w:rPr>
          <w:rFonts w:cs="Arial"/>
        </w:rPr>
        <w:t xml:space="preserve"> S</w:t>
      </w:r>
      <w:r>
        <w:rPr>
          <w:rFonts w:cs="Arial"/>
        </w:rPr>
        <w:t>t. Wilfrid’s has increased in the academic year 2014-15 to</w:t>
      </w:r>
      <w:r w:rsidRPr="003424E0">
        <w:rPr>
          <w:rFonts w:cs="Arial"/>
        </w:rPr>
        <w:t xml:space="preserve"> £227,295.  This funding has enabled the school to continue to provide the following, and offer additional strategies:</w:t>
      </w:r>
    </w:p>
    <w:tbl>
      <w:tblPr>
        <w:tblStyle w:val="TableGrid"/>
        <w:tblW w:w="9242" w:type="dxa"/>
        <w:tblLook w:val="04A0"/>
      </w:tblPr>
      <w:tblGrid>
        <w:gridCol w:w="3080"/>
        <w:gridCol w:w="1848"/>
        <w:gridCol w:w="4314"/>
      </w:tblGrid>
      <w:tr w:rsidR="00C70B6A" w:rsidRPr="003424E0" w:rsidTr="00BB0211">
        <w:trPr>
          <w:trHeight w:hRule="exact" w:val="851"/>
        </w:trPr>
        <w:tc>
          <w:tcPr>
            <w:tcW w:w="3080" w:type="dxa"/>
            <w:shd w:val="clear" w:color="auto" w:fill="D9D9D9" w:themeFill="background1" w:themeFillShade="D9"/>
            <w:vAlign w:val="center"/>
          </w:tcPr>
          <w:p w:rsidR="00C70B6A" w:rsidRPr="003424E0" w:rsidRDefault="00C70B6A" w:rsidP="00BB0211">
            <w:pPr>
              <w:rPr>
                <w:rFonts w:cs="Arial"/>
                <w:sz w:val="18"/>
                <w:szCs w:val="18"/>
              </w:rPr>
            </w:pPr>
            <w:r w:rsidRPr="003424E0">
              <w:rPr>
                <w:rFonts w:cs="Arial"/>
                <w:sz w:val="18"/>
                <w:szCs w:val="18"/>
              </w:rPr>
              <w:t>Provision</w:t>
            </w:r>
          </w:p>
        </w:tc>
        <w:tc>
          <w:tcPr>
            <w:tcW w:w="1848" w:type="dxa"/>
            <w:shd w:val="clear" w:color="auto" w:fill="D9D9D9" w:themeFill="background1" w:themeFillShade="D9"/>
            <w:vAlign w:val="center"/>
          </w:tcPr>
          <w:p w:rsidR="00C70B6A" w:rsidRPr="003424E0" w:rsidRDefault="00C70B6A" w:rsidP="00BB0211">
            <w:pPr>
              <w:rPr>
                <w:rFonts w:cs="Arial"/>
                <w:sz w:val="18"/>
                <w:szCs w:val="18"/>
              </w:rPr>
            </w:pPr>
            <w:r w:rsidRPr="003424E0">
              <w:rPr>
                <w:rFonts w:cs="Arial"/>
                <w:sz w:val="18"/>
                <w:szCs w:val="18"/>
              </w:rPr>
              <w:t>Approx costs</w:t>
            </w:r>
          </w:p>
        </w:tc>
        <w:tc>
          <w:tcPr>
            <w:tcW w:w="4314" w:type="dxa"/>
            <w:shd w:val="clear" w:color="auto" w:fill="D9D9D9" w:themeFill="background1" w:themeFillShade="D9"/>
            <w:vAlign w:val="center"/>
          </w:tcPr>
          <w:p w:rsidR="00C70B6A" w:rsidRPr="003424E0" w:rsidRDefault="00C70B6A" w:rsidP="00BB0211">
            <w:pPr>
              <w:rPr>
                <w:rFonts w:cs="Arial"/>
                <w:sz w:val="18"/>
                <w:szCs w:val="18"/>
              </w:rPr>
            </w:pPr>
            <w:r w:rsidRPr="00F70F3A">
              <w:rPr>
                <w:rFonts w:cs="Arial"/>
                <w:sz w:val="18"/>
                <w:szCs w:val="18"/>
              </w:rPr>
              <w:t>Support for learners</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Homework Club KS3/KS4</w:t>
            </w:r>
          </w:p>
        </w:tc>
        <w:tc>
          <w:tcPr>
            <w:tcW w:w="1848" w:type="dxa"/>
            <w:vAlign w:val="center"/>
          </w:tcPr>
          <w:p w:rsidR="00C70B6A" w:rsidRPr="003424E0" w:rsidRDefault="00C70B6A" w:rsidP="00BB0211">
            <w:pPr>
              <w:rPr>
                <w:rFonts w:cs="Arial"/>
                <w:sz w:val="18"/>
                <w:szCs w:val="18"/>
              </w:rPr>
            </w:pPr>
            <w:r w:rsidRPr="003424E0">
              <w:rPr>
                <w:rFonts w:cs="Arial"/>
                <w:sz w:val="18"/>
                <w:szCs w:val="18"/>
              </w:rPr>
              <w:t>£2,000</w:t>
            </w:r>
          </w:p>
        </w:tc>
        <w:tc>
          <w:tcPr>
            <w:tcW w:w="4314" w:type="dxa"/>
            <w:vAlign w:val="center"/>
          </w:tcPr>
          <w:p w:rsidR="00C70B6A" w:rsidRPr="003424E0" w:rsidRDefault="00C70B6A" w:rsidP="00BB0211">
            <w:pPr>
              <w:rPr>
                <w:rFonts w:cs="Arial"/>
                <w:sz w:val="18"/>
                <w:szCs w:val="18"/>
              </w:rPr>
            </w:pPr>
            <w:r w:rsidRPr="003424E0">
              <w:rPr>
                <w:rFonts w:cs="Arial"/>
                <w:sz w:val="18"/>
                <w:szCs w:val="18"/>
              </w:rPr>
              <w:t>Small group sessions every night after school, to assist all pupils with homework issues and support.  This is open to all pupils as well as pupils who are targeted for extra support with homework.</w:t>
            </w:r>
          </w:p>
        </w:tc>
      </w:tr>
      <w:tr w:rsidR="00C70B6A" w:rsidRPr="003424E0" w:rsidTr="00BB0211">
        <w:trPr>
          <w:trHeight w:val="624"/>
        </w:trPr>
        <w:tc>
          <w:tcPr>
            <w:tcW w:w="3080" w:type="dxa"/>
            <w:vAlign w:val="center"/>
          </w:tcPr>
          <w:p w:rsidR="00C70B6A" w:rsidRPr="003424E0" w:rsidRDefault="00A670CD" w:rsidP="00A670CD">
            <w:pPr>
              <w:rPr>
                <w:rFonts w:cs="Arial"/>
                <w:sz w:val="18"/>
                <w:szCs w:val="18"/>
              </w:rPr>
            </w:pPr>
            <w:r>
              <w:rPr>
                <w:rFonts w:cs="Arial"/>
                <w:sz w:val="18"/>
                <w:szCs w:val="18"/>
              </w:rPr>
              <w:t xml:space="preserve">SEND </w:t>
            </w:r>
            <w:r w:rsidR="00C70B6A" w:rsidRPr="003424E0">
              <w:rPr>
                <w:rFonts w:cs="Arial"/>
                <w:sz w:val="18"/>
                <w:szCs w:val="18"/>
              </w:rPr>
              <w:t>Services</w:t>
            </w:r>
          </w:p>
        </w:tc>
        <w:tc>
          <w:tcPr>
            <w:tcW w:w="1848" w:type="dxa"/>
            <w:vAlign w:val="center"/>
          </w:tcPr>
          <w:p w:rsidR="00C70B6A" w:rsidRPr="003424E0" w:rsidRDefault="00C70B6A" w:rsidP="00BB0211">
            <w:pPr>
              <w:rPr>
                <w:rFonts w:cs="Arial"/>
                <w:sz w:val="18"/>
                <w:szCs w:val="18"/>
              </w:rPr>
            </w:pPr>
            <w:r w:rsidRPr="003424E0">
              <w:rPr>
                <w:rFonts w:cs="Arial"/>
                <w:sz w:val="18"/>
                <w:szCs w:val="18"/>
              </w:rPr>
              <w:t>£16</w:t>
            </w:r>
            <w:r>
              <w:rPr>
                <w:rFonts w:cs="Arial"/>
                <w:sz w:val="18"/>
                <w:szCs w:val="18"/>
              </w:rPr>
              <w:t>0,000</w:t>
            </w:r>
          </w:p>
        </w:tc>
        <w:tc>
          <w:tcPr>
            <w:tcW w:w="4314" w:type="dxa"/>
            <w:shd w:val="clear" w:color="auto" w:fill="auto"/>
            <w:vAlign w:val="center"/>
          </w:tcPr>
          <w:p w:rsidR="00C70B6A" w:rsidRPr="003424E0" w:rsidRDefault="00C70B6A" w:rsidP="00BB0211">
            <w:pPr>
              <w:rPr>
                <w:rFonts w:cs="Arial"/>
                <w:sz w:val="18"/>
                <w:szCs w:val="18"/>
              </w:rPr>
            </w:pPr>
            <w:r w:rsidRPr="003424E0">
              <w:rPr>
                <w:rFonts w:cs="Arial"/>
                <w:sz w:val="18"/>
                <w:szCs w:val="18"/>
              </w:rPr>
              <w:t xml:space="preserve">Provides support to pupils and their families.  Some of the most vulnerable and disadvantaged pupils fit into this category. </w:t>
            </w:r>
          </w:p>
          <w:p w:rsidR="00C70B6A" w:rsidRPr="003424E0" w:rsidRDefault="00C70B6A" w:rsidP="00BB0211">
            <w:pPr>
              <w:rPr>
                <w:rFonts w:cs="Arial"/>
                <w:sz w:val="18"/>
                <w:szCs w:val="18"/>
              </w:rPr>
            </w:pPr>
            <w:r w:rsidRPr="003424E0">
              <w:rPr>
                <w:rFonts w:cs="Arial"/>
                <w:sz w:val="18"/>
                <w:szCs w:val="18"/>
              </w:rPr>
              <w:t>Teaching Assistants are deployed in many different ways to support our children who may require one to one support to achieve their potential.</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 xml:space="preserve">Pastoral Liaison </w:t>
            </w:r>
          </w:p>
        </w:tc>
        <w:tc>
          <w:tcPr>
            <w:tcW w:w="1848" w:type="dxa"/>
            <w:vAlign w:val="center"/>
          </w:tcPr>
          <w:p w:rsidR="00C70B6A" w:rsidRPr="003424E0" w:rsidRDefault="00C70B6A" w:rsidP="00BB0211">
            <w:pPr>
              <w:rPr>
                <w:rFonts w:cs="Arial"/>
                <w:sz w:val="18"/>
                <w:szCs w:val="18"/>
              </w:rPr>
            </w:pPr>
            <w:r w:rsidRPr="003424E0">
              <w:rPr>
                <w:rFonts w:cs="Arial"/>
                <w:sz w:val="18"/>
                <w:szCs w:val="18"/>
              </w:rPr>
              <w:t>£26,000</w:t>
            </w:r>
          </w:p>
        </w:tc>
        <w:tc>
          <w:tcPr>
            <w:tcW w:w="4314" w:type="dxa"/>
            <w:vAlign w:val="center"/>
          </w:tcPr>
          <w:p w:rsidR="00C70B6A" w:rsidRPr="003424E0" w:rsidRDefault="00C70B6A" w:rsidP="00BB0211">
            <w:pPr>
              <w:rPr>
                <w:rFonts w:cs="Arial"/>
                <w:sz w:val="18"/>
                <w:szCs w:val="18"/>
              </w:rPr>
            </w:pPr>
            <w:r w:rsidRPr="003424E0">
              <w:rPr>
                <w:rFonts w:cs="Arial"/>
                <w:sz w:val="18"/>
                <w:szCs w:val="18"/>
              </w:rPr>
              <w:t>Provides support for pastoral team in linking in with hard to reach parents and families.  Builds relationships with families and is able to respond quickly if required to.</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School Chaplaincy Services</w:t>
            </w:r>
          </w:p>
        </w:tc>
        <w:tc>
          <w:tcPr>
            <w:tcW w:w="1848" w:type="dxa"/>
            <w:vAlign w:val="center"/>
          </w:tcPr>
          <w:p w:rsidR="00C70B6A" w:rsidRPr="003424E0" w:rsidRDefault="00C70B6A" w:rsidP="00BB0211">
            <w:pPr>
              <w:rPr>
                <w:rFonts w:cs="Arial"/>
                <w:sz w:val="18"/>
                <w:szCs w:val="18"/>
              </w:rPr>
            </w:pPr>
            <w:r w:rsidRPr="003424E0">
              <w:rPr>
                <w:rFonts w:cs="Arial"/>
                <w:sz w:val="18"/>
                <w:szCs w:val="18"/>
              </w:rPr>
              <w:t>£22,</w:t>
            </w:r>
            <w:r>
              <w:rPr>
                <w:rFonts w:cs="Arial"/>
                <w:sz w:val="18"/>
                <w:szCs w:val="18"/>
              </w:rPr>
              <w:t>000</w:t>
            </w:r>
          </w:p>
        </w:tc>
        <w:tc>
          <w:tcPr>
            <w:tcW w:w="4314" w:type="dxa"/>
            <w:shd w:val="clear" w:color="auto" w:fill="auto"/>
            <w:vAlign w:val="center"/>
          </w:tcPr>
          <w:p w:rsidR="00C70B6A" w:rsidRPr="003424E0" w:rsidRDefault="00C70B6A" w:rsidP="00BB0211">
            <w:pPr>
              <w:rPr>
                <w:rFonts w:cs="Arial"/>
                <w:sz w:val="18"/>
                <w:szCs w:val="18"/>
              </w:rPr>
            </w:pPr>
            <w:r w:rsidRPr="003424E0">
              <w:rPr>
                <w:rFonts w:cs="Arial"/>
                <w:sz w:val="18"/>
                <w:szCs w:val="18"/>
              </w:rPr>
              <w:t>One to one intervention with pupils who require low level support. Runs and organises bereavement group, Hosts young carers meetings fortnightly. Organises class masses and whole school liturgy as well as year group retreats. Is responsible for development of school ethos in liaison with head of RE and SLT.</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Study Support (Intervention)</w:t>
            </w:r>
          </w:p>
          <w:p w:rsidR="00C70B6A" w:rsidRPr="003424E0" w:rsidRDefault="00C70B6A" w:rsidP="00BB0211">
            <w:pPr>
              <w:rPr>
                <w:rFonts w:cs="Arial"/>
                <w:sz w:val="18"/>
                <w:szCs w:val="18"/>
              </w:rPr>
            </w:pPr>
            <w:r w:rsidRPr="003424E0">
              <w:rPr>
                <w:rFonts w:cs="Arial"/>
                <w:sz w:val="18"/>
                <w:szCs w:val="18"/>
              </w:rPr>
              <w:t>STEP (Support to Enhance Progress)</w:t>
            </w:r>
          </w:p>
          <w:p w:rsidR="00C70B6A" w:rsidRPr="003424E0" w:rsidRDefault="00C70B6A" w:rsidP="00BB0211">
            <w:pPr>
              <w:rPr>
                <w:rFonts w:cs="Arial"/>
                <w:sz w:val="18"/>
                <w:szCs w:val="18"/>
              </w:rPr>
            </w:pPr>
            <w:r w:rsidRPr="003424E0">
              <w:rPr>
                <w:rFonts w:cs="Arial"/>
                <w:sz w:val="18"/>
                <w:szCs w:val="18"/>
              </w:rPr>
              <w:t>Reading Club</w:t>
            </w:r>
          </w:p>
          <w:p w:rsidR="00C70B6A" w:rsidRPr="003424E0" w:rsidRDefault="00C70B6A" w:rsidP="00BB0211">
            <w:pPr>
              <w:rPr>
                <w:rFonts w:cs="Arial"/>
                <w:sz w:val="18"/>
                <w:szCs w:val="18"/>
              </w:rPr>
            </w:pPr>
            <w:r w:rsidRPr="003424E0">
              <w:rPr>
                <w:rFonts w:cs="Arial"/>
                <w:sz w:val="18"/>
                <w:szCs w:val="18"/>
              </w:rPr>
              <w:t>One to one Reading</w:t>
            </w:r>
          </w:p>
          <w:p w:rsidR="00C70B6A" w:rsidRPr="003424E0" w:rsidRDefault="00C70B6A" w:rsidP="00BB0211">
            <w:pPr>
              <w:rPr>
                <w:rFonts w:cs="Arial"/>
                <w:sz w:val="18"/>
                <w:szCs w:val="18"/>
              </w:rPr>
            </w:pPr>
            <w:r w:rsidRPr="003424E0">
              <w:rPr>
                <w:rFonts w:cs="Arial"/>
                <w:sz w:val="18"/>
                <w:szCs w:val="18"/>
              </w:rPr>
              <w:t>Planning for Pupil Progress</w:t>
            </w:r>
          </w:p>
        </w:tc>
        <w:tc>
          <w:tcPr>
            <w:tcW w:w="1848" w:type="dxa"/>
            <w:vAlign w:val="center"/>
          </w:tcPr>
          <w:p w:rsidR="00C70B6A" w:rsidRPr="003424E0" w:rsidRDefault="00C70B6A" w:rsidP="00BB0211">
            <w:pPr>
              <w:rPr>
                <w:rFonts w:cs="Arial"/>
                <w:sz w:val="18"/>
                <w:szCs w:val="18"/>
              </w:rPr>
            </w:pPr>
            <w:r w:rsidRPr="003424E0">
              <w:rPr>
                <w:rFonts w:cs="Arial"/>
                <w:sz w:val="18"/>
                <w:szCs w:val="18"/>
              </w:rPr>
              <w:t>£20,000</w:t>
            </w:r>
          </w:p>
        </w:tc>
        <w:tc>
          <w:tcPr>
            <w:tcW w:w="4314" w:type="dxa"/>
            <w:vAlign w:val="center"/>
          </w:tcPr>
          <w:p w:rsidR="00C70B6A" w:rsidRPr="003424E0" w:rsidRDefault="00C70B6A" w:rsidP="00BB0211">
            <w:pPr>
              <w:rPr>
                <w:rFonts w:cs="Arial"/>
                <w:sz w:val="18"/>
                <w:szCs w:val="18"/>
              </w:rPr>
            </w:pPr>
            <w:r w:rsidRPr="003424E0">
              <w:rPr>
                <w:rFonts w:cs="Arial"/>
                <w:sz w:val="18"/>
                <w:szCs w:val="18"/>
              </w:rPr>
              <w:t>Subject specific study session timetabled throughout the year for every subject, with specialists allowing targeted pupils access to support at key times of need.  This involves after school STEP session, holiday sessions, study breakfasts before exams and one to one assistance.  Many voluntary sessions have also been well attended.</w:t>
            </w:r>
          </w:p>
        </w:tc>
      </w:tr>
      <w:tr w:rsidR="00C70B6A" w:rsidRPr="003424E0" w:rsidTr="00BB0211">
        <w:tc>
          <w:tcPr>
            <w:tcW w:w="3080" w:type="dxa"/>
            <w:vAlign w:val="center"/>
          </w:tcPr>
          <w:p w:rsidR="00C70B6A" w:rsidRPr="003424E0" w:rsidRDefault="00C70B6A" w:rsidP="00BB0211">
            <w:pPr>
              <w:rPr>
                <w:rFonts w:cs="Arial"/>
                <w:sz w:val="18"/>
                <w:szCs w:val="18"/>
              </w:rPr>
            </w:pPr>
            <w:r w:rsidRPr="003424E0">
              <w:rPr>
                <w:rFonts w:cs="Arial"/>
                <w:sz w:val="18"/>
                <w:szCs w:val="18"/>
              </w:rPr>
              <w:t>Subsidised Music Tuition</w:t>
            </w:r>
          </w:p>
        </w:tc>
        <w:tc>
          <w:tcPr>
            <w:tcW w:w="1848" w:type="dxa"/>
            <w:vAlign w:val="center"/>
          </w:tcPr>
          <w:p w:rsidR="00C70B6A" w:rsidRPr="003424E0" w:rsidRDefault="00C70B6A" w:rsidP="00BB0211">
            <w:pPr>
              <w:rPr>
                <w:rFonts w:cs="Arial"/>
                <w:sz w:val="18"/>
                <w:szCs w:val="18"/>
              </w:rPr>
            </w:pPr>
            <w:r w:rsidRPr="003424E0">
              <w:rPr>
                <w:rFonts w:cs="Arial"/>
                <w:sz w:val="18"/>
                <w:szCs w:val="18"/>
              </w:rPr>
              <w:t>£10,000</w:t>
            </w:r>
          </w:p>
        </w:tc>
        <w:tc>
          <w:tcPr>
            <w:tcW w:w="4314" w:type="dxa"/>
            <w:vAlign w:val="center"/>
          </w:tcPr>
          <w:p w:rsidR="00C70B6A" w:rsidRPr="003424E0" w:rsidRDefault="00C70B6A" w:rsidP="00BB0211">
            <w:pPr>
              <w:rPr>
                <w:rFonts w:cs="Arial"/>
                <w:sz w:val="18"/>
                <w:szCs w:val="18"/>
              </w:rPr>
            </w:pPr>
            <w:r w:rsidRPr="003424E0">
              <w:rPr>
                <w:rFonts w:cs="Arial"/>
                <w:sz w:val="18"/>
                <w:szCs w:val="18"/>
              </w:rPr>
              <w:t>Increase involvement in extra-curricular music and drama across the school.  We have the highest number of pupils in the authority involved in peripatetic music in the authority.  This raises pupils’ confidence and aspirations.</w:t>
            </w:r>
          </w:p>
        </w:tc>
      </w:tr>
      <w:tr w:rsidR="00C70B6A" w:rsidRPr="003424E0" w:rsidTr="00420476">
        <w:tc>
          <w:tcPr>
            <w:tcW w:w="3080" w:type="dxa"/>
            <w:shd w:val="clear" w:color="auto" w:fill="auto"/>
            <w:vAlign w:val="center"/>
          </w:tcPr>
          <w:p w:rsidR="00C70B6A" w:rsidRPr="003424E0" w:rsidRDefault="00420476" w:rsidP="00BB0211">
            <w:pPr>
              <w:rPr>
                <w:rFonts w:cs="Arial"/>
                <w:sz w:val="18"/>
                <w:szCs w:val="18"/>
              </w:rPr>
            </w:pPr>
            <w:r>
              <w:rPr>
                <w:rFonts w:cs="Arial"/>
                <w:sz w:val="18"/>
                <w:szCs w:val="18"/>
              </w:rPr>
              <w:t xml:space="preserve">Careers Guidance </w:t>
            </w:r>
          </w:p>
        </w:tc>
        <w:tc>
          <w:tcPr>
            <w:tcW w:w="1848" w:type="dxa"/>
            <w:shd w:val="clear" w:color="auto" w:fill="auto"/>
            <w:vAlign w:val="center"/>
          </w:tcPr>
          <w:p w:rsidR="00C70B6A" w:rsidRPr="003424E0" w:rsidRDefault="00C70B6A" w:rsidP="00BB0211">
            <w:pPr>
              <w:rPr>
                <w:rFonts w:cs="Arial"/>
                <w:sz w:val="18"/>
                <w:szCs w:val="18"/>
              </w:rPr>
            </w:pPr>
            <w:r w:rsidRPr="003424E0">
              <w:rPr>
                <w:rFonts w:cs="Arial"/>
                <w:sz w:val="18"/>
                <w:szCs w:val="18"/>
              </w:rPr>
              <w:t>£10,000</w:t>
            </w:r>
          </w:p>
        </w:tc>
        <w:tc>
          <w:tcPr>
            <w:tcW w:w="4314" w:type="dxa"/>
            <w:shd w:val="clear" w:color="auto" w:fill="auto"/>
            <w:vAlign w:val="center"/>
          </w:tcPr>
          <w:p w:rsidR="00C70B6A" w:rsidRPr="003424E0" w:rsidRDefault="00420476" w:rsidP="00420476">
            <w:pPr>
              <w:rPr>
                <w:rFonts w:cs="Arial"/>
                <w:color w:val="FF0000"/>
                <w:sz w:val="18"/>
                <w:szCs w:val="18"/>
              </w:rPr>
            </w:pPr>
            <w:r w:rsidRPr="00DF4C6E">
              <w:rPr>
                <w:rFonts w:cs="Arial"/>
                <w:color w:val="000000" w:themeColor="text1"/>
                <w:sz w:val="18"/>
                <w:szCs w:val="18"/>
              </w:rPr>
              <w:t>CEIAG support for all students Y7-Y13 to ensure they are best placed to progress into the education or employment pathway of their choice. Additional expertise and high quality delivery of post 16 careers and FE guidance from representatives from Rising Star.</w:t>
            </w:r>
          </w:p>
        </w:tc>
      </w:tr>
      <w:tr w:rsidR="00C70B6A" w:rsidRPr="003424E0" w:rsidTr="00BB0211">
        <w:tc>
          <w:tcPr>
            <w:tcW w:w="3080" w:type="dxa"/>
            <w:shd w:val="clear" w:color="auto" w:fill="auto"/>
            <w:vAlign w:val="center"/>
          </w:tcPr>
          <w:p w:rsidR="00C70B6A" w:rsidRPr="009F59B0" w:rsidRDefault="00C70B6A" w:rsidP="00BB0211">
            <w:pPr>
              <w:rPr>
                <w:rFonts w:cs="Arial"/>
                <w:sz w:val="18"/>
                <w:szCs w:val="18"/>
              </w:rPr>
            </w:pPr>
            <w:r w:rsidRPr="009F59B0">
              <w:rPr>
                <w:rFonts w:cs="Arial"/>
                <w:sz w:val="18"/>
                <w:szCs w:val="18"/>
              </w:rPr>
              <w:t>Pastoral Mentors</w:t>
            </w:r>
          </w:p>
        </w:tc>
        <w:tc>
          <w:tcPr>
            <w:tcW w:w="1848" w:type="dxa"/>
            <w:shd w:val="clear" w:color="auto" w:fill="auto"/>
            <w:vAlign w:val="center"/>
          </w:tcPr>
          <w:p w:rsidR="00C70B6A" w:rsidRPr="009F59B0" w:rsidRDefault="00C70B6A" w:rsidP="00BB0211">
            <w:pPr>
              <w:rPr>
                <w:rFonts w:cs="Arial"/>
                <w:sz w:val="18"/>
                <w:szCs w:val="18"/>
              </w:rPr>
            </w:pPr>
            <w:r w:rsidRPr="009F59B0">
              <w:rPr>
                <w:rFonts w:cs="Arial"/>
                <w:sz w:val="18"/>
                <w:szCs w:val="18"/>
              </w:rPr>
              <w:t>£9,000</w:t>
            </w:r>
          </w:p>
        </w:tc>
        <w:tc>
          <w:tcPr>
            <w:tcW w:w="4314" w:type="dxa"/>
            <w:shd w:val="clear" w:color="auto" w:fill="auto"/>
            <w:vAlign w:val="center"/>
          </w:tcPr>
          <w:p w:rsidR="00C70B6A" w:rsidRPr="00AA7DB5" w:rsidRDefault="00C70B6A" w:rsidP="00BB0211">
            <w:pPr>
              <w:rPr>
                <w:rFonts w:cs="Arial"/>
                <w:color w:val="FF0000"/>
                <w:sz w:val="18"/>
                <w:szCs w:val="18"/>
              </w:rPr>
            </w:pPr>
            <w:r w:rsidRPr="00AA7DB5">
              <w:rPr>
                <w:rFonts w:cs="Arial"/>
                <w:sz w:val="18"/>
                <w:szCs w:val="18"/>
              </w:rPr>
              <w:t>Offer one to one support to yrs 7 – 11 pupils, around organisation, aspirations and subject issues.  Mentors monitor targeted pupil progress and ensure they are fully supported in reaching their potential.</w:t>
            </w:r>
          </w:p>
        </w:tc>
      </w:tr>
      <w:tr w:rsidR="00C70B6A" w:rsidRPr="003424E0" w:rsidTr="00BB0211">
        <w:tc>
          <w:tcPr>
            <w:tcW w:w="3080" w:type="dxa"/>
            <w:shd w:val="clear" w:color="auto" w:fill="auto"/>
            <w:vAlign w:val="center"/>
          </w:tcPr>
          <w:p w:rsidR="00C70B6A" w:rsidRPr="009F59B0" w:rsidRDefault="00C70B6A" w:rsidP="00BB0211">
            <w:pPr>
              <w:rPr>
                <w:rFonts w:cs="Arial"/>
                <w:sz w:val="18"/>
                <w:szCs w:val="18"/>
              </w:rPr>
            </w:pPr>
            <w:r w:rsidRPr="009F59B0">
              <w:rPr>
                <w:rFonts w:cs="Arial"/>
                <w:sz w:val="18"/>
                <w:szCs w:val="18"/>
              </w:rPr>
              <w:t>Teaching &amp; Learning Mentors</w:t>
            </w:r>
          </w:p>
        </w:tc>
        <w:tc>
          <w:tcPr>
            <w:tcW w:w="1848" w:type="dxa"/>
            <w:shd w:val="clear" w:color="auto" w:fill="auto"/>
            <w:vAlign w:val="center"/>
          </w:tcPr>
          <w:p w:rsidR="00C70B6A" w:rsidRPr="009F59B0" w:rsidRDefault="00C70B6A" w:rsidP="00BB0211">
            <w:pPr>
              <w:rPr>
                <w:rFonts w:cs="Arial"/>
                <w:sz w:val="18"/>
                <w:szCs w:val="18"/>
              </w:rPr>
            </w:pPr>
            <w:r w:rsidRPr="009F59B0">
              <w:rPr>
                <w:rFonts w:cs="Arial"/>
                <w:sz w:val="18"/>
                <w:szCs w:val="18"/>
              </w:rPr>
              <w:t>£7,000</w:t>
            </w:r>
          </w:p>
        </w:tc>
        <w:tc>
          <w:tcPr>
            <w:tcW w:w="4314" w:type="dxa"/>
            <w:shd w:val="clear" w:color="auto" w:fill="auto"/>
            <w:vAlign w:val="center"/>
          </w:tcPr>
          <w:p w:rsidR="00C70B6A" w:rsidRPr="00AA7DB5" w:rsidRDefault="00C70B6A" w:rsidP="00BB0211">
            <w:pPr>
              <w:rPr>
                <w:rFonts w:cs="Arial"/>
                <w:color w:val="FF0000"/>
                <w:sz w:val="18"/>
                <w:szCs w:val="18"/>
              </w:rPr>
            </w:pPr>
            <w:r w:rsidRPr="00AA7DB5">
              <w:rPr>
                <w:rFonts w:cs="Arial"/>
                <w:sz w:val="18"/>
                <w:szCs w:val="18"/>
              </w:rPr>
              <w:t>Teaching and Learning team to improve the quality of specific learning support for individual pupil needs through whole staff training and through provision of CPD programmes within school.</w:t>
            </w:r>
          </w:p>
        </w:tc>
      </w:tr>
      <w:tr w:rsidR="00C70B6A" w:rsidRPr="003424E0" w:rsidTr="00BB0211">
        <w:trPr>
          <w:trHeight w:val="567"/>
        </w:trPr>
        <w:tc>
          <w:tcPr>
            <w:tcW w:w="3080" w:type="dxa"/>
            <w:vAlign w:val="center"/>
          </w:tcPr>
          <w:p w:rsidR="00C70B6A" w:rsidRPr="003424E0" w:rsidRDefault="00C70B6A" w:rsidP="00BB0211">
            <w:pPr>
              <w:rPr>
                <w:rFonts w:cs="Arial"/>
                <w:b/>
                <w:sz w:val="20"/>
                <w:szCs w:val="20"/>
              </w:rPr>
            </w:pPr>
            <w:r w:rsidRPr="003424E0">
              <w:rPr>
                <w:rFonts w:cs="Arial"/>
                <w:b/>
                <w:sz w:val="20"/>
                <w:szCs w:val="20"/>
              </w:rPr>
              <w:t>Total</w:t>
            </w:r>
          </w:p>
        </w:tc>
        <w:tc>
          <w:tcPr>
            <w:tcW w:w="1848" w:type="dxa"/>
            <w:vAlign w:val="center"/>
          </w:tcPr>
          <w:p w:rsidR="00C70B6A" w:rsidRPr="003424E0" w:rsidRDefault="00C70B6A" w:rsidP="00BB0211">
            <w:pPr>
              <w:rPr>
                <w:rFonts w:cs="Arial"/>
                <w:b/>
                <w:sz w:val="20"/>
                <w:szCs w:val="20"/>
              </w:rPr>
            </w:pPr>
            <w:r>
              <w:rPr>
                <w:rFonts w:cs="Arial"/>
                <w:b/>
                <w:sz w:val="20"/>
                <w:szCs w:val="20"/>
              </w:rPr>
              <w:t>£266,000</w:t>
            </w:r>
          </w:p>
        </w:tc>
        <w:tc>
          <w:tcPr>
            <w:tcW w:w="4314" w:type="dxa"/>
            <w:vAlign w:val="center"/>
          </w:tcPr>
          <w:p w:rsidR="00C70B6A" w:rsidRPr="003424E0" w:rsidRDefault="00C70B6A" w:rsidP="00BB0211">
            <w:pPr>
              <w:rPr>
                <w:rFonts w:cs="Arial"/>
                <w:sz w:val="20"/>
                <w:szCs w:val="20"/>
              </w:rPr>
            </w:pPr>
          </w:p>
        </w:tc>
      </w:tr>
    </w:tbl>
    <w:p w:rsidR="005B390C" w:rsidRPr="005B390C" w:rsidRDefault="005B390C" w:rsidP="00C70B6A">
      <w:pPr>
        <w:rPr>
          <w:rFonts w:cs="Arial"/>
          <w:sz w:val="24"/>
          <w:szCs w:val="24"/>
        </w:rPr>
      </w:pPr>
    </w:p>
    <w:sectPr w:rsidR="005B390C" w:rsidRPr="005B390C" w:rsidSect="00A16E54">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31B2"/>
    <w:multiLevelType w:val="hybridMultilevel"/>
    <w:tmpl w:val="7650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1E5F6C"/>
    <w:multiLevelType w:val="hybridMultilevel"/>
    <w:tmpl w:val="1122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4A45"/>
    <w:rsid w:val="00021493"/>
    <w:rsid w:val="0006124B"/>
    <w:rsid w:val="00142053"/>
    <w:rsid w:val="00162217"/>
    <w:rsid w:val="00256AFE"/>
    <w:rsid w:val="00260F6E"/>
    <w:rsid w:val="002C6279"/>
    <w:rsid w:val="002E25B3"/>
    <w:rsid w:val="00303E31"/>
    <w:rsid w:val="0031312D"/>
    <w:rsid w:val="003424E0"/>
    <w:rsid w:val="00380380"/>
    <w:rsid w:val="003A447A"/>
    <w:rsid w:val="00420476"/>
    <w:rsid w:val="00442BAE"/>
    <w:rsid w:val="0044461D"/>
    <w:rsid w:val="00456A8B"/>
    <w:rsid w:val="004C0F81"/>
    <w:rsid w:val="004F039F"/>
    <w:rsid w:val="004F12F2"/>
    <w:rsid w:val="004F7458"/>
    <w:rsid w:val="00556326"/>
    <w:rsid w:val="0056619E"/>
    <w:rsid w:val="00570162"/>
    <w:rsid w:val="005A3356"/>
    <w:rsid w:val="005B390C"/>
    <w:rsid w:val="005F7355"/>
    <w:rsid w:val="005F73C3"/>
    <w:rsid w:val="00624A45"/>
    <w:rsid w:val="0069721E"/>
    <w:rsid w:val="00723484"/>
    <w:rsid w:val="0078779D"/>
    <w:rsid w:val="00810B65"/>
    <w:rsid w:val="008A2DF1"/>
    <w:rsid w:val="008F6FE3"/>
    <w:rsid w:val="00903F01"/>
    <w:rsid w:val="009C5419"/>
    <w:rsid w:val="009F59B0"/>
    <w:rsid w:val="00A018F1"/>
    <w:rsid w:val="00A16E54"/>
    <w:rsid w:val="00A340F0"/>
    <w:rsid w:val="00A670CD"/>
    <w:rsid w:val="00A742AE"/>
    <w:rsid w:val="00A941B3"/>
    <w:rsid w:val="00A97144"/>
    <w:rsid w:val="00AA7DB5"/>
    <w:rsid w:val="00AD1AD7"/>
    <w:rsid w:val="00B3677A"/>
    <w:rsid w:val="00BA2A15"/>
    <w:rsid w:val="00BB0211"/>
    <w:rsid w:val="00BC15A1"/>
    <w:rsid w:val="00C24B22"/>
    <w:rsid w:val="00C70B6A"/>
    <w:rsid w:val="00DA3CE9"/>
    <w:rsid w:val="00DE5591"/>
    <w:rsid w:val="00E11EAE"/>
    <w:rsid w:val="00E379C9"/>
    <w:rsid w:val="00E67C01"/>
    <w:rsid w:val="00E95607"/>
    <w:rsid w:val="00E95D8A"/>
    <w:rsid w:val="00EB0D47"/>
    <w:rsid w:val="00F10906"/>
    <w:rsid w:val="00F57679"/>
    <w:rsid w:val="00F608DD"/>
    <w:rsid w:val="00F63331"/>
    <w:rsid w:val="00F70F3A"/>
    <w:rsid w:val="00FD62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A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62217"/>
    <w:rPr>
      <w:color w:val="0000FF"/>
      <w:u w:val="single"/>
    </w:rPr>
  </w:style>
  <w:style w:type="paragraph" w:styleId="ListParagraph">
    <w:name w:val="List Paragraph"/>
    <w:basedOn w:val="Normal"/>
    <w:uiPriority w:val="34"/>
    <w:qFormat/>
    <w:rsid w:val="0069721E"/>
    <w:pPr>
      <w:ind w:left="720"/>
      <w:contextualSpacing/>
    </w:pPr>
  </w:style>
  <w:style w:type="paragraph" w:styleId="BalloonText">
    <w:name w:val="Balloon Text"/>
    <w:basedOn w:val="Normal"/>
    <w:link w:val="BalloonTextChar"/>
    <w:uiPriority w:val="99"/>
    <w:semiHidden/>
    <w:unhideWhenUsed/>
    <w:rsid w:val="00FD6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6E82E-B418-4A20-B443-02292BF0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2014-11-11T15:15:00Z</cp:lastPrinted>
  <dcterms:created xsi:type="dcterms:W3CDTF">2014-11-13T14:38:00Z</dcterms:created>
  <dcterms:modified xsi:type="dcterms:W3CDTF">2014-11-13T14:38:00Z</dcterms:modified>
</cp:coreProperties>
</file>