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247C" w14:textId="77777777" w:rsidR="00BC2A41" w:rsidRPr="00531AFD" w:rsidRDefault="008B644D" w:rsidP="00531AFD">
      <w:pPr>
        <w:jc w:val="center"/>
        <w:rPr>
          <w:b/>
        </w:rPr>
      </w:pPr>
      <w:r w:rsidRPr="00531AFD">
        <w:rPr>
          <w:b/>
        </w:rPr>
        <w:t>Y7 Catch up Funding</w:t>
      </w:r>
    </w:p>
    <w:p w14:paraId="56FE97CA" w14:textId="201954B9" w:rsidR="008B644D" w:rsidRDefault="0A1DD003">
      <w:r>
        <w:t>‘Catch up’ funding consists of an additional payment to schools to provide extra support in literacy and numeracy for students who join the school in year 7, who did not meet expected standards (NS) at key stage 2.</w:t>
      </w:r>
    </w:p>
    <w:p w14:paraId="00120C35" w14:textId="77777777" w:rsidR="00090CAA" w:rsidRDefault="00090CAA"/>
    <w:p w14:paraId="4F6B0F57" w14:textId="77777777" w:rsidR="00A07FA5" w:rsidRPr="009707A5" w:rsidRDefault="00A07FA5">
      <w:pPr>
        <w:rPr>
          <w:b/>
        </w:rPr>
      </w:pPr>
      <w:r w:rsidRPr="009707A5">
        <w:rPr>
          <w:b/>
        </w:rPr>
        <w:t>Allocation of funds</w:t>
      </w:r>
    </w:p>
    <w:tbl>
      <w:tblPr>
        <w:tblStyle w:val="TableGrid"/>
        <w:tblW w:w="7853" w:type="dxa"/>
        <w:tblLook w:val="04A0" w:firstRow="1" w:lastRow="0" w:firstColumn="1" w:lastColumn="0" w:noHBand="0" w:noVBand="1"/>
      </w:tblPr>
      <w:tblGrid>
        <w:gridCol w:w="2325"/>
        <w:gridCol w:w="1755"/>
        <w:gridCol w:w="1650"/>
        <w:gridCol w:w="2123"/>
      </w:tblGrid>
      <w:tr w:rsidR="00BA0AA1" w14:paraId="7034F1C8" w14:textId="77777777" w:rsidTr="0A1DD003">
        <w:tc>
          <w:tcPr>
            <w:tcW w:w="2325" w:type="dxa"/>
          </w:tcPr>
          <w:p w14:paraId="0BC600F1" w14:textId="77777777" w:rsidR="0A1DD003" w:rsidRDefault="0A1DD003">
            <w:r>
              <w:t>2016-17</w:t>
            </w:r>
          </w:p>
        </w:tc>
        <w:tc>
          <w:tcPr>
            <w:tcW w:w="1755" w:type="dxa"/>
          </w:tcPr>
          <w:p w14:paraId="6289E503" w14:textId="77777777" w:rsidR="00BA0AA1" w:rsidRDefault="00BA0AA1">
            <w:r>
              <w:t>2017-18</w:t>
            </w:r>
          </w:p>
        </w:tc>
        <w:tc>
          <w:tcPr>
            <w:tcW w:w="1650" w:type="dxa"/>
          </w:tcPr>
          <w:p w14:paraId="5F239741" w14:textId="77777777" w:rsidR="00BA0AA1" w:rsidRDefault="00BA0AA1">
            <w:r>
              <w:t>2018-19</w:t>
            </w:r>
          </w:p>
        </w:tc>
        <w:tc>
          <w:tcPr>
            <w:tcW w:w="2123" w:type="dxa"/>
          </w:tcPr>
          <w:p w14:paraId="736E796B" w14:textId="77777777" w:rsidR="00BA0AA1" w:rsidRDefault="00BA0AA1">
            <w:r>
              <w:t>2019-20</w:t>
            </w:r>
          </w:p>
        </w:tc>
      </w:tr>
      <w:tr w:rsidR="00155CD5" w14:paraId="55556B82" w14:textId="77777777" w:rsidTr="0A1DD003">
        <w:tc>
          <w:tcPr>
            <w:tcW w:w="2325" w:type="dxa"/>
          </w:tcPr>
          <w:p w14:paraId="14C92F41" w14:textId="0DC8A2C8" w:rsidR="00155CD5" w:rsidRDefault="00155CD5">
            <w:r>
              <w:t>£15, 047</w:t>
            </w:r>
          </w:p>
        </w:tc>
        <w:tc>
          <w:tcPr>
            <w:tcW w:w="1755" w:type="dxa"/>
          </w:tcPr>
          <w:p w14:paraId="59181AAB" w14:textId="1EBD1DB7" w:rsidR="00155CD5" w:rsidRDefault="00155CD5">
            <w:r>
              <w:t>£17, 578</w:t>
            </w:r>
          </w:p>
        </w:tc>
        <w:tc>
          <w:tcPr>
            <w:tcW w:w="1650" w:type="dxa"/>
          </w:tcPr>
          <w:p w14:paraId="0CC3F27B" w14:textId="555FA157" w:rsidR="00155CD5" w:rsidRDefault="00155CD5">
            <w:r>
              <w:t>£16, 312</w:t>
            </w:r>
          </w:p>
        </w:tc>
        <w:tc>
          <w:tcPr>
            <w:tcW w:w="2123" w:type="dxa"/>
          </w:tcPr>
          <w:p w14:paraId="543A22C9" w14:textId="10069A9A" w:rsidR="00155CD5" w:rsidRDefault="00155CD5">
            <w:r>
              <w:t>£17,432</w:t>
            </w:r>
          </w:p>
        </w:tc>
      </w:tr>
      <w:tr w:rsidR="00155CD5" w14:paraId="3F2736E6" w14:textId="77777777" w:rsidTr="0A1DD003">
        <w:tc>
          <w:tcPr>
            <w:tcW w:w="2325" w:type="dxa"/>
          </w:tcPr>
          <w:p w14:paraId="4088A5EA" w14:textId="166088A1" w:rsidR="00155CD5" w:rsidRDefault="00155CD5"/>
        </w:tc>
        <w:tc>
          <w:tcPr>
            <w:tcW w:w="1755" w:type="dxa"/>
          </w:tcPr>
          <w:p w14:paraId="2AA11DA3" w14:textId="31CCBC4C" w:rsidR="00155CD5" w:rsidRDefault="00155CD5"/>
        </w:tc>
        <w:tc>
          <w:tcPr>
            <w:tcW w:w="1650" w:type="dxa"/>
          </w:tcPr>
          <w:p w14:paraId="01FACC9C" w14:textId="5A05F675" w:rsidR="00155CD5" w:rsidRDefault="00155CD5"/>
        </w:tc>
        <w:tc>
          <w:tcPr>
            <w:tcW w:w="2123" w:type="dxa"/>
          </w:tcPr>
          <w:p w14:paraId="0D8840B6" w14:textId="40FD8C8E" w:rsidR="00155CD5" w:rsidRDefault="00155CD5"/>
        </w:tc>
      </w:tr>
    </w:tbl>
    <w:p w14:paraId="5E71E98C" w14:textId="77777777" w:rsidR="00A07FA5" w:rsidRDefault="00A07FA5"/>
    <w:p w14:paraId="53199173" w14:textId="77777777" w:rsidR="00531AFD" w:rsidRDefault="0A1DD003">
      <w:pPr>
        <w:rPr>
          <w:b/>
        </w:rPr>
      </w:pPr>
      <w:r w:rsidRPr="0A1DD003">
        <w:rPr>
          <w:b/>
          <w:bCs/>
        </w:rPr>
        <w:t>Use of funding (2018-19)</w:t>
      </w:r>
    </w:p>
    <w:p w14:paraId="3C6C60C2" w14:textId="4175D02D" w:rsidR="00E27A97" w:rsidRPr="00E27A97" w:rsidRDefault="0A1DD003">
      <w:r>
        <w:t xml:space="preserve">Homework club       </w:t>
      </w:r>
      <w:r w:rsidRPr="0A1DD003">
        <w:rPr>
          <w:b/>
          <w:bCs/>
        </w:rPr>
        <w:t xml:space="preserve"> £6317</w:t>
      </w:r>
    </w:p>
    <w:p w14:paraId="24C8C460" w14:textId="5EE1FB96" w:rsidR="00E27A97" w:rsidRPr="00E27A97" w:rsidRDefault="0A1DD003">
      <w:r>
        <w:t xml:space="preserve">1:1 reading               </w:t>
      </w:r>
      <w:r w:rsidRPr="0A1DD003">
        <w:rPr>
          <w:b/>
          <w:bCs/>
        </w:rPr>
        <w:t xml:space="preserve"> £4379</w:t>
      </w:r>
    </w:p>
    <w:p w14:paraId="45225ECE" w14:textId="5B24E002" w:rsidR="00E27A97" w:rsidRPr="00E27A97" w:rsidRDefault="0A1DD003">
      <w:r>
        <w:t>Mini bus service to transport key pupils to early morning reading session (</w:t>
      </w:r>
      <w:proofErr w:type="gramStart"/>
      <w:r>
        <w:t xml:space="preserve">s)   </w:t>
      </w:r>
      <w:proofErr w:type="gramEnd"/>
      <w:r>
        <w:t xml:space="preserve">  </w:t>
      </w:r>
      <w:r w:rsidRPr="0A1DD003">
        <w:rPr>
          <w:b/>
          <w:bCs/>
        </w:rPr>
        <w:t xml:space="preserve">£3000 </w:t>
      </w:r>
    </w:p>
    <w:p w14:paraId="529BED0F" w14:textId="1242DF28" w:rsidR="009E74B8" w:rsidRPr="00760FE1" w:rsidRDefault="0A1DD003" w:rsidP="009E74B8">
      <w:r>
        <w:t xml:space="preserve">Calculators to enhance basic calculator Skills, linked to targeted intervention tasks in lessons. </w:t>
      </w:r>
      <w:r w:rsidRPr="0A1DD003">
        <w:rPr>
          <w:b/>
          <w:bCs/>
        </w:rPr>
        <w:t xml:space="preserve"> £3315.50  </w:t>
      </w:r>
    </w:p>
    <w:p w14:paraId="42E24BB0" w14:textId="7E55BBBC" w:rsidR="009E74B8" w:rsidRPr="00760FE1" w:rsidRDefault="0A1DD003" w:rsidP="009E74B8">
      <w:r>
        <w:t xml:space="preserve">Maths staff leading numeracy catch up sessions during tutor time     </w:t>
      </w:r>
      <w:r w:rsidRPr="0A1DD003">
        <w:rPr>
          <w:b/>
          <w:bCs/>
        </w:rPr>
        <w:t>£1928</w:t>
      </w:r>
    </w:p>
    <w:p w14:paraId="7E7E86B6" w14:textId="2528EFA9" w:rsidR="00531AFD" w:rsidRPr="00760FE1" w:rsidRDefault="0A1DD003">
      <w:r>
        <w:t xml:space="preserve">Total Spend: </w:t>
      </w:r>
      <w:r w:rsidRPr="0A1DD003">
        <w:rPr>
          <w:b/>
          <w:bCs/>
        </w:rPr>
        <w:t>£18939.50      (Overspend of £2627.50)</w:t>
      </w:r>
    </w:p>
    <w:p w14:paraId="5702E3E9" w14:textId="77777777" w:rsidR="00531AFD" w:rsidRPr="00B625F8" w:rsidRDefault="0A1DD003">
      <w:pPr>
        <w:rPr>
          <w:b/>
        </w:rPr>
      </w:pPr>
      <w:r w:rsidRPr="0A1DD003">
        <w:rPr>
          <w:b/>
          <w:bCs/>
        </w:rPr>
        <w:t>Summary of impact</w:t>
      </w:r>
    </w:p>
    <w:p w14:paraId="57074D68" w14:textId="0A590F86" w:rsidR="0A1DD003" w:rsidRDefault="0A1DD003">
      <w:r>
        <w:t>In 2018-19 the number of students who benefitted from additional funding were as follows:</w:t>
      </w:r>
    </w:p>
    <w:tbl>
      <w:tblPr>
        <w:tblStyle w:val="TableGrid"/>
        <w:tblW w:w="0" w:type="auto"/>
        <w:tblLook w:val="04A0" w:firstRow="1" w:lastRow="0" w:firstColumn="1" w:lastColumn="0" w:noHBand="0" w:noVBand="1"/>
      </w:tblPr>
      <w:tblGrid>
        <w:gridCol w:w="2745"/>
        <w:gridCol w:w="3135"/>
        <w:gridCol w:w="3135"/>
      </w:tblGrid>
      <w:tr w:rsidR="0A1DD003" w14:paraId="590C1404" w14:textId="77777777" w:rsidTr="0A1DD003">
        <w:tc>
          <w:tcPr>
            <w:tcW w:w="2745" w:type="dxa"/>
          </w:tcPr>
          <w:p w14:paraId="611D3805" w14:textId="0B48D4A1" w:rsidR="0A1DD003" w:rsidRDefault="0A1DD003">
            <w:r>
              <w:t>2018-2019</w:t>
            </w:r>
          </w:p>
        </w:tc>
        <w:tc>
          <w:tcPr>
            <w:tcW w:w="3135" w:type="dxa"/>
          </w:tcPr>
          <w:p w14:paraId="6B8F49AE" w14:textId="0167498E" w:rsidR="0A1DD003" w:rsidRDefault="0A1DD003" w:rsidP="0A1DD003">
            <w:pPr>
              <w:spacing w:line="259" w:lineRule="auto"/>
            </w:pPr>
            <w:r>
              <w:t>Percentage (&amp; number) o</w:t>
            </w:r>
            <w:r w:rsidR="00437DBD">
              <w:t xml:space="preserve">f Cohort Starting below expected  standard </w:t>
            </w:r>
            <w:r>
              <w:t>YEAR 7 2018</w:t>
            </w:r>
          </w:p>
        </w:tc>
        <w:tc>
          <w:tcPr>
            <w:tcW w:w="3135" w:type="dxa"/>
          </w:tcPr>
          <w:p w14:paraId="31DB032D" w14:textId="1DF3B04E" w:rsidR="0A1DD003" w:rsidRDefault="0A1DD003" w:rsidP="0A1DD003">
            <w:r>
              <w:t>Percentage (&amp; Number) of Cohort Starting Yea</w:t>
            </w:r>
            <w:r w:rsidR="00437DBD">
              <w:t>r 8 Below expected standard</w:t>
            </w:r>
            <w:r>
              <w:t xml:space="preserve"> YEAR 8 2019</w:t>
            </w:r>
          </w:p>
        </w:tc>
      </w:tr>
      <w:tr w:rsidR="0A1DD003" w14:paraId="39695587" w14:textId="77777777" w:rsidTr="0A1DD003">
        <w:tc>
          <w:tcPr>
            <w:tcW w:w="2745" w:type="dxa"/>
          </w:tcPr>
          <w:p w14:paraId="00047731" w14:textId="255AF8F2" w:rsidR="0A1DD003" w:rsidRDefault="0A1DD003"/>
          <w:p w14:paraId="43CDDD66" w14:textId="77777777" w:rsidR="0A1DD003" w:rsidRDefault="0A1DD003">
            <w:r>
              <w:t>Catch up funding: Literacy</w:t>
            </w:r>
          </w:p>
          <w:p w14:paraId="3A8E2999" w14:textId="4B762F00" w:rsidR="0A1DD003" w:rsidRDefault="0A1DD003" w:rsidP="0A1DD003"/>
        </w:tc>
        <w:tc>
          <w:tcPr>
            <w:tcW w:w="3135" w:type="dxa"/>
          </w:tcPr>
          <w:p w14:paraId="166716EB" w14:textId="51BA5E10" w:rsidR="0A1DD003" w:rsidRPr="00155CD5" w:rsidRDefault="00437DBD" w:rsidP="00437DBD">
            <w:pPr>
              <w:jc w:val="center"/>
              <w:rPr>
                <w:b/>
                <w:sz w:val="28"/>
                <w:szCs w:val="28"/>
              </w:rPr>
            </w:pPr>
            <w:r w:rsidRPr="00155CD5">
              <w:rPr>
                <w:b/>
                <w:sz w:val="28"/>
                <w:szCs w:val="28"/>
              </w:rPr>
              <w:t>38/222 = 17.1%</w:t>
            </w:r>
          </w:p>
        </w:tc>
        <w:tc>
          <w:tcPr>
            <w:tcW w:w="3135" w:type="dxa"/>
          </w:tcPr>
          <w:p w14:paraId="4E7A7F6A" w14:textId="3327BBA7" w:rsidR="0A1DD003" w:rsidRPr="00155CD5" w:rsidRDefault="00437DBD" w:rsidP="00437DBD">
            <w:pPr>
              <w:jc w:val="center"/>
              <w:rPr>
                <w:b/>
                <w:sz w:val="28"/>
                <w:szCs w:val="28"/>
              </w:rPr>
            </w:pPr>
            <w:r w:rsidRPr="00155CD5">
              <w:rPr>
                <w:b/>
                <w:sz w:val="28"/>
                <w:szCs w:val="28"/>
              </w:rPr>
              <w:t>5/222= 2.3%</w:t>
            </w:r>
          </w:p>
        </w:tc>
      </w:tr>
      <w:tr w:rsidR="0A1DD003" w14:paraId="16CA6D49" w14:textId="77777777" w:rsidTr="0A1DD003">
        <w:tc>
          <w:tcPr>
            <w:tcW w:w="2745" w:type="dxa"/>
          </w:tcPr>
          <w:p w14:paraId="7D157B1E" w14:textId="77777777" w:rsidR="00437DBD" w:rsidRDefault="00437DBD" w:rsidP="0A1DD003">
            <w:pPr>
              <w:rPr>
                <w:rFonts w:ascii="Calibri" w:eastAsia="Calibri" w:hAnsi="Calibri" w:cs="Calibri"/>
                <w:color w:val="000000" w:themeColor="text1"/>
                <w:sz w:val="21"/>
                <w:szCs w:val="21"/>
              </w:rPr>
            </w:pPr>
          </w:p>
          <w:p w14:paraId="34573089" w14:textId="3D68EB3E" w:rsidR="0A1DD003" w:rsidRDefault="0A1DD003" w:rsidP="0A1DD003">
            <w:r w:rsidRPr="0A1DD003">
              <w:rPr>
                <w:rFonts w:ascii="Calibri" w:eastAsia="Calibri" w:hAnsi="Calibri" w:cs="Calibri"/>
                <w:color w:val="000000" w:themeColor="text1"/>
                <w:sz w:val="21"/>
                <w:szCs w:val="21"/>
              </w:rPr>
              <w:t>Catch up funding: Numeracy</w:t>
            </w:r>
          </w:p>
          <w:p w14:paraId="28A04571" w14:textId="549686F6" w:rsidR="0A1DD003" w:rsidRDefault="0A1DD003" w:rsidP="0A1DD003">
            <w:pPr>
              <w:rPr>
                <w:rFonts w:ascii="Calibri" w:eastAsia="Calibri" w:hAnsi="Calibri" w:cs="Calibri"/>
                <w:color w:val="000000" w:themeColor="text1"/>
                <w:sz w:val="21"/>
                <w:szCs w:val="21"/>
              </w:rPr>
            </w:pPr>
          </w:p>
        </w:tc>
        <w:tc>
          <w:tcPr>
            <w:tcW w:w="3135" w:type="dxa"/>
          </w:tcPr>
          <w:p w14:paraId="6FA2ABA0" w14:textId="5EDF88BE" w:rsidR="0A1DD003" w:rsidRPr="00155CD5" w:rsidRDefault="00155CD5" w:rsidP="00437DBD">
            <w:pPr>
              <w:jc w:val="center"/>
              <w:rPr>
                <w:b/>
                <w:sz w:val="28"/>
                <w:szCs w:val="28"/>
              </w:rPr>
            </w:pPr>
            <w:r>
              <w:rPr>
                <w:b/>
                <w:sz w:val="28"/>
                <w:szCs w:val="28"/>
              </w:rPr>
              <w:t>39/222</w:t>
            </w:r>
            <w:r w:rsidR="00437DBD" w:rsidRPr="00155CD5">
              <w:rPr>
                <w:b/>
                <w:sz w:val="28"/>
                <w:szCs w:val="28"/>
              </w:rPr>
              <w:t xml:space="preserve"> =16.7%</w:t>
            </w:r>
          </w:p>
        </w:tc>
        <w:tc>
          <w:tcPr>
            <w:tcW w:w="3135" w:type="dxa"/>
          </w:tcPr>
          <w:p w14:paraId="49DE5B5F" w14:textId="71EB2A79" w:rsidR="0A1DD003" w:rsidRPr="00155CD5" w:rsidRDefault="00437DBD" w:rsidP="00437DBD">
            <w:pPr>
              <w:jc w:val="center"/>
              <w:rPr>
                <w:b/>
                <w:sz w:val="28"/>
                <w:szCs w:val="28"/>
              </w:rPr>
            </w:pPr>
            <w:r w:rsidRPr="00155CD5">
              <w:rPr>
                <w:b/>
                <w:sz w:val="28"/>
                <w:szCs w:val="28"/>
              </w:rPr>
              <w:t>15/222= 6.7%</w:t>
            </w:r>
          </w:p>
        </w:tc>
      </w:tr>
    </w:tbl>
    <w:p w14:paraId="556738AA" w14:textId="208841D1" w:rsidR="0A1DD003" w:rsidRDefault="0A1DD003" w:rsidP="0A1DD003">
      <w:pPr>
        <w:rPr>
          <w:b/>
          <w:bCs/>
        </w:rPr>
      </w:pPr>
      <w:r w:rsidRPr="0A1DD003">
        <w:rPr>
          <w:b/>
          <w:bCs/>
        </w:rPr>
        <w:t xml:space="preserve"> </w:t>
      </w:r>
    </w:p>
    <w:p w14:paraId="24EE3BC9" w14:textId="6736A9B0" w:rsidR="00531AFD" w:rsidRDefault="0A1DD003">
      <w:r>
        <w:t>2019-2020 plans</w:t>
      </w:r>
    </w:p>
    <w:tbl>
      <w:tblPr>
        <w:tblStyle w:val="TableGrid"/>
        <w:tblW w:w="0" w:type="auto"/>
        <w:tblLook w:val="04A0" w:firstRow="1" w:lastRow="0" w:firstColumn="1" w:lastColumn="0" w:noHBand="0" w:noVBand="1"/>
      </w:tblPr>
      <w:tblGrid>
        <w:gridCol w:w="2745"/>
        <w:gridCol w:w="3135"/>
        <w:gridCol w:w="3135"/>
      </w:tblGrid>
      <w:tr w:rsidR="0A1DD003" w14:paraId="60909BEA" w14:textId="77777777" w:rsidTr="0A1DD003">
        <w:tc>
          <w:tcPr>
            <w:tcW w:w="2745" w:type="dxa"/>
          </w:tcPr>
          <w:p w14:paraId="302C2994" w14:textId="77777777" w:rsidR="0A1DD003" w:rsidRDefault="0A1DD003"/>
        </w:tc>
        <w:tc>
          <w:tcPr>
            <w:tcW w:w="3135" w:type="dxa"/>
          </w:tcPr>
          <w:p w14:paraId="6E2E72C2" w14:textId="5DAC35CC" w:rsidR="0A1DD003" w:rsidRDefault="0A1DD003" w:rsidP="0A1DD003">
            <w:pPr>
              <w:spacing w:line="259" w:lineRule="auto"/>
            </w:pPr>
            <w:r>
              <w:t xml:space="preserve">Percentage (&amp; number) </w:t>
            </w:r>
            <w:r w:rsidR="00437DBD">
              <w:t xml:space="preserve">of Cohort Starting below expected standard </w:t>
            </w:r>
            <w:r>
              <w:t xml:space="preserve"> YEAR 7 2019</w:t>
            </w:r>
          </w:p>
        </w:tc>
        <w:tc>
          <w:tcPr>
            <w:tcW w:w="3135" w:type="dxa"/>
          </w:tcPr>
          <w:p w14:paraId="577FE8E0" w14:textId="50F2F007" w:rsidR="0A1DD003" w:rsidRDefault="0A1DD003" w:rsidP="0A1DD003">
            <w:r>
              <w:t xml:space="preserve">Percentage (&amp; Number) of Cohort Starting Year 8 </w:t>
            </w:r>
            <w:r w:rsidR="00437DBD">
              <w:t>below expected standard Year 8 2020</w:t>
            </w:r>
          </w:p>
        </w:tc>
      </w:tr>
      <w:tr w:rsidR="0A1DD003" w14:paraId="7C7568B0" w14:textId="77777777" w:rsidTr="0A1DD003">
        <w:tc>
          <w:tcPr>
            <w:tcW w:w="2745" w:type="dxa"/>
          </w:tcPr>
          <w:p w14:paraId="77394C9B" w14:textId="255AF8F2" w:rsidR="0A1DD003" w:rsidRDefault="0A1DD003"/>
          <w:p w14:paraId="3A549E85" w14:textId="77777777" w:rsidR="0A1DD003" w:rsidRDefault="0A1DD003">
            <w:r>
              <w:t>Catch up funding: Literacy</w:t>
            </w:r>
          </w:p>
          <w:p w14:paraId="59382BD8" w14:textId="4B762F00" w:rsidR="0A1DD003" w:rsidRDefault="0A1DD003" w:rsidP="0A1DD003"/>
        </w:tc>
        <w:tc>
          <w:tcPr>
            <w:tcW w:w="3135" w:type="dxa"/>
          </w:tcPr>
          <w:p w14:paraId="2DC84FB3" w14:textId="0314C691" w:rsidR="0A1DD003" w:rsidRPr="00155CD5" w:rsidRDefault="00437DBD" w:rsidP="00155CD5">
            <w:pPr>
              <w:jc w:val="center"/>
              <w:rPr>
                <w:b/>
                <w:sz w:val="28"/>
                <w:szCs w:val="28"/>
              </w:rPr>
            </w:pPr>
            <w:r w:rsidRPr="00155CD5">
              <w:rPr>
                <w:b/>
                <w:sz w:val="28"/>
                <w:szCs w:val="28"/>
              </w:rPr>
              <w:t>40/243 = 16.5%</w:t>
            </w:r>
          </w:p>
        </w:tc>
        <w:tc>
          <w:tcPr>
            <w:tcW w:w="3135" w:type="dxa"/>
          </w:tcPr>
          <w:p w14:paraId="2CEDBC6A" w14:textId="4AC9C71B" w:rsidR="0A1DD003" w:rsidRDefault="0A1DD003" w:rsidP="0A1DD003"/>
        </w:tc>
      </w:tr>
      <w:tr w:rsidR="0A1DD003" w14:paraId="7EFCEE81" w14:textId="77777777" w:rsidTr="0A1DD003">
        <w:tc>
          <w:tcPr>
            <w:tcW w:w="2745" w:type="dxa"/>
          </w:tcPr>
          <w:p w14:paraId="0D483F80" w14:textId="4AB1857D" w:rsidR="0A1DD003" w:rsidRDefault="0A1DD003" w:rsidP="0A1DD003">
            <w:bookmarkStart w:id="0" w:name="_GoBack"/>
            <w:r w:rsidRPr="0A1DD003">
              <w:rPr>
                <w:rFonts w:ascii="Calibri" w:eastAsia="Calibri" w:hAnsi="Calibri" w:cs="Calibri"/>
                <w:color w:val="000000" w:themeColor="text1"/>
                <w:sz w:val="21"/>
                <w:szCs w:val="21"/>
              </w:rPr>
              <w:t>Catch up funding: Numeracy</w:t>
            </w:r>
          </w:p>
          <w:p w14:paraId="3618B337" w14:textId="549686F6" w:rsidR="0A1DD003" w:rsidRDefault="0A1DD003" w:rsidP="0A1DD003">
            <w:pPr>
              <w:rPr>
                <w:rFonts w:ascii="Calibri" w:eastAsia="Calibri" w:hAnsi="Calibri" w:cs="Calibri"/>
                <w:color w:val="000000" w:themeColor="text1"/>
                <w:sz w:val="21"/>
                <w:szCs w:val="21"/>
              </w:rPr>
            </w:pPr>
          </w:p>
        </w:tc>
        <w:tc>
          <w:tcPr>
            <w:tcW w:w="3135" w:type="dxa"/>
          </w:tcPr>
          <w:p w14:paraId="3BC4A3A1" w14:textId="24E7DF6D" w:rsidR="0A1DD003" w:rsidRPr="00155CD5" w:rsidRDefault="00155CD5" w:rsidP="00155CD5">
            <w:pPr>
              <w:jc w:val="center"/>
              <w:rPr>
                <w:b/>
                <w:sz w:val="28"/>
                <w:szCs w:val="28"/>
              </w:rPr>
            </w:pPr>
            <w:r>
              <w:rPr>
                <w:b/>
                <w:sz w:val="28"/>
                <w:szCs w:val="28"/>
              </w:rPr>
              <w:t>30/243</w:t>
            </w:r>
            <w:r w:rsidRPr="00155CD5">
              <w:rPr>
                <w:b/>
                <w:sz w:val="28"/>
                <w:szCs w:val="28"/>
              </w:rPr>
              <w:t xml:space="preserve"> = 12.3%</w:t>
            </w:r>
          </w:p>
          <w:p w14:paraId="6AB5F92D" w14:textId="47F5CCF5" w:rsidR="00437DBD" w:rsidRPr="00155CD5" w:rsidRDefault="00437DBD" w:rsidP="00155CD5">
            <w:pPr>
              <w:jc w:val="center"/>
              <w:rPr>
                <w:b/>
                <w:sz w:val="28"/>
                <w:szCs w:val="28"/>
              </w:rPr>
            </w:pPr>
          </w:p>
        </w:tc>
        <w:tc>
          <w:tcPr>
            <w:tcW w:w="3135" w:type="dxa"/>
          </w:tcPr>
          <w:p w14:paraId="1B079A24" w14:textId="08D35119" w:rsidR="0A1DD003" w:rsidRDefault="0A1DD003" w:rsidP="0A1DD003"/>
        </w:tc>
      </w:tr>
      <w:bookmarkEnd w:id="0"/>
    </w:tbl>
    <w:p w14:paraId="247AD39E" w14:textId="63F95D02" w:rsidR="00531AFD" w:rsidRDefault="00531AFD" w:rsidP="0A1DD003"/>
    <w:p w14:paraId="17152480" w14:textId="0D512E0C" w:rsidR="00531AFD" w:rsidRDefault="0A1DD003" w:rsidP="0A1DD003">
      <w:pPr>
        <w:rPr>
          <w:b/>
          <w:bCs/>
        </w:rPr>
      </w:pPr>
      <w:r w:rsidRPr="0A1DD003">
        <w:rPr>
          <w:b/>
          <w:bCs/>
        </w:rPr>
        <w:t>Intended spend (2019-20</w:t>
      </w:r>
      <w:proofErr w:type="gramStart"/>
      <w:r w:rsidRPr="0A1DD003">
        <w:rPr>
          <w:b/>
          <w:bCs/>
        </w:rPr>
        <w:t>)  (</w:t>
      </w:r>
      <w:proofErr w:type="gramEnd"/>
      <w:r w:rsidRPr="0A1DD003">
        <w:rPr>
          <w:b/>
          <w:bCs/>
        </w:rPr>
        <w:t>Costings to be confirmed)</w:t>
      </w:r>
    </w:p>
    <w:p w14:paraId="2125FCA6" w14:textId="0F35024C" w:rsidR="009E74B8" w:rsidRPr="00760FE1" w:rsidRDefault="0A1DD003" w:rsidP="009E74B8">
      <w:r>
        <w:t xml:space="preserve">Remunerating Leadership position to lead a programme of support such as Accelerated reader lessons, 1-1 paired reading sessions, sixth form support </w:t>
      </w:r>
      <w:proofErr w:type="spellStart"/>
      <w:r>
        <w:t>etc</w:t>
      </w:r>
      <w:proofErr w:type="spellEnd"/>
    </w:p>
    <w:p w14:paraId="495A1DFB" w14:textId="77777777" w:rsidR="009E74B8" w:rsidRPr="00760FE1" w:rsidRDefault="009E74B8" w:rsidP="009E74B8">
      <w:r w:rsidRPr="00760FE1">
        <w:t>Remunerating teaching assistants to support the above programme</w:t>
      </w:r>
    </w:p>
    <w:p w14:paraId="213D106F" w14:textId="7D647A1E" w:rsidR="009E74B8" w:rsidRPr="00760FE1" w:rsidRDefault="0A1DD003" w:rsidP="009E74B8">
      <w:r>
        <w:t xml:space="preserve">Recruitment of staff in maths to lead a programme of numeracy support such as weekly numeracy </w:t>
      </w:r>
      <w:proofErr w:type="gramStart"/>
      <w:r>
        <w:t>catch</w:t>
      </w:r>
      <w:proofErr w:type="gramEnd"/>
      <w:r>
        <w:t xml:space="preserve"> up sessions during tutor time.  </w:t>
      </w:r>
    </w:p>
    <w:p w14:paraId="3EAC3B88" w14:textId="1546A039" w:rsidR="009E74B8" w:rsidRPr="00760FE1" w:rsidRDefault="0A1DD003" w:rsidP="009E74B8">
      <w:r>
        <w:t>Purchase of revision guides and workbooks</w:t>
      </w:r>
    </w:p>
    <w:p w14:paraId="707495A3" w14:textId="653E685B" w:rsidR="009E74B8" w:rsidRPr="00760FE1" w:rsidRDefault="0A1DD003" w:rsidP="009E74B8">
      <w:r>
        <w:t xml:space="preserve">Purchase of individual site licences for maths websites such as </w:t>
      </w:r>
      <w:proofErr w:type="spellStart"/>
      <w:r>
        <w:t>MyMaths</w:t>
      </w:r>
      <w:proofErr w:type="spellEnd"/>
      <w:r>
        <w:t xml:space="preserve"> and </w:t>
      </w:r>
      <w:proofErr w:type="spellStart"/>
      <w:r>
        <w:t>Mathswatch</w:t>
      </w:r>
      <w:proofErr w:type="spellEnd"/>
      <w:r>
        <w:t>.</w:t>
      </w:r>
    </w:p>
    <w:p w14:paraId="439D8820" w14:textId="77777777" w:rsidR="00B625F8" w:rsidRPr="00B625F8" w:rsidRDefault="00B625F8">
      <w:pPr>
        <w:rPr>
          <w:b/>
        </w:rPr>
      </w:pPr>
    </w:p>
    <w:sectPr w:rsidR="00B625F8" w:rsidRPr="00B62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4D"/>
    <w:rsid w:val="00090CAA"/>
    <w:rsid w:val="00155CD5"/>
    <w:rsid w:val="002B55DE"/>
    <w:rsid w:val="00324C32"/>
    <w:rsid w:val="00437DBD"/>
    <w:rsid w:val="00531AFD"/>
    <w:rsid w:val="00760FE1"/>
    <w:rsid w:val="008B644D"/>
    <w:rsid w:val="009707A5"/>
    <w:rsid w:val="009C7807"/>
    <w:rsid w:val="009E74B8"/>
    <w:rsid w:val="00A07FA5"/>
    <w:rsid w:val="00A14D46"/>
    <w:rsid w:val="00B625F8"/>
    <w:rsid w:val="00BA0AA1"/>
    <w:rsid w:val="00BC2A41"/>
    <w:rsid w:val="00E27A97"/>
    <w:rsid w:val="00F57874"/>
    <w:rsid w:val="00F93BD8"/>
    <w:rsid w:val="00FE5278"/>
    <w:rsid w:val="0A1DD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F376"/>
  <w15:chartTrackingRefBased/>
  <w15:docId w15:val="{1C00573B-E81E-4B37-A2B2-753CAA1D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D049293CE324BA343D2DE6DDAA15F" ma:contentTypeVersion="7" ma:contentTypeDescription="Create a new document." ma:contentTypeScope="" ma:versionID="bbae55319efa5a0aa3a6016ed1c7776d">
  <xsd:schema xmlns:xsd="http://www.w3.org/2001/XMLSchema" xmlns:xs="http://www.w3.org/2001/XMLSchema" xmlns:p="http://schemas.microsoft.com/office/2006/metadata/properties" xmlns:ns3="e8bebbab-90ec-4c2a-b9da-fef796c2baa9" xmlns:ns4="c00e3149-4c87-402b-9d56-ef27014456e9" targetNamespace="http://schemas.microsoft.com/office/2006/metadata/properties" ma:root="true" ma:fieldsID="5cf67c8c43318032334a2c8ff4198788" ns3:_="" ns4:_="">
    <xsd:import namespace="e8bebbab-90ec-4c2a-b9da-fef796c2baa9"/>
    <xsd:import namespace="c00e3149-4c87-402b-9d56-ef27014456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bbab-90ec-4c2a-b9da-fef796c2b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0e3149-4c87-402b-9d56-ef27014456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6DA8C-6AF3-48F0-B9E8-76A8EB384234}">
  <ds:schemaRefs>
    <ds:schemaRef ds:uri="http://schemas.microsoft.com/sharepoint/v3/contenttype/forms"/>
  </ds:schemaRefs>
</ds:datastoreItem>
</file>

<file path=customXml/itemProps2.xml><?xml version="1.0" encoding="utf-8"?>
<ds:datastoreItem xmlns:ds="http://schemas.openxmlformats.org/officeDocument/2006/customXml" ds:itemID="{6560F3C9-2D59-4DCA-8833-9439D29C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bbab-90ec-4c2a-b9da-fef796c2baa9"/>
    <ds:schemaRef ds:uri="c00e3149-4c87-402b-9d56-ef270144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7503F-5BAA-43AD-88CE-00DD2FB84B94}">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e8bebbab-90ec-4c2a-b9da-fef796c2baa9"/>
    <ds:schemaRef ds:uri="http://schemas.openxmlformats.org/package/2006/metadata/core-properties"/>
    <ds:schemaRef ds:uri="c00e3149-4c87-402b-9d56-ef27014456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Old</dc:creator>
  <cp:keywords/>
  <dc:description/>
  <cp:lastModifiedBy>Mark Price</cp:lastModifiedBy>
  <cp:revision>2</cp:revision>
  <dcterms:created xsi:type="dcterms:W3CDTF">2020-03-05T06:34:00Z</dcterms:created>
  <dcterms:modified xsi:type="dcterms:W3CDTF">2020-03-05T06:34:00Z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0x01010012BD049293CE324BA343D2DE6DDAA15F</vt:lpwstr>
  </property>
</Properties>
</file>